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FF0000"/>
          <w:sz w:val="48"/>
          <w:szCs w:val="48"/>
        </w:rPr>
      </w:pPr>
      <w:r>
        <w:rPr>
          <w:rFonts w:hint="eastAsia" w:ascii="方正小标宋简体" w:hAnsi="方正小标宋简体" w:eastAsia="方正小标宋简体" w:cs="方正小标宋简体"/>
          <w:bCs/>
          <w:color w:val="FF0000"/>
          <w:sz w:val="48"/>
          <w:szCs w:val="48"/>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594360</wp:posOffset>
                </wp:positionV>
                <wp:extent cx="6190615" cy="635"/>
                <wp:effectExtent l="0" t="28575" r="635" b="46990"/>
                <wp:wrapNone/>
                <wp:docPr id="3" name="直接连接符 3"/>
                <wp:cNvGraphicFramePr/>
                <a:graphic xmlns:a="http://schemas.openxmlformats.org/drawingml/2006/main">
                  <a:graphicData uri="http://schemas.microsoft.com/office/word/2010/wordprocessingShape">
                    <wps:wsp>
                      <wps:cNvCnPr/>
                      <wps:spPr>
                        <a:xfrm>
                          <a:off x="0" y="0"/>
                          <a:ext cx="619061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5pt;margin-top:46.8pt;height:0.05pt;width:487.45pt;z-index:251660288;mso-width-relative:page;mso-height-relative:page;" filled="f" stroked="t" coordsize="21600,21600" o:gfxdata="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XhSQtYAAAAJAQAADwAAAAAAAAABACAAAAAiAAAAZHJzL2Rvd25yZXYu&#10;eG1sUEsBAhQAFAAAAAgAh07iQAPKaRj9AQAA7QMAAA4AAAAAAAAAAQAgAAAAJQEAAGRycy9lMm9E&#10;b2MueG1sUEsFBgAAAAAGAAYAWQEAAJQF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bCs/>
          <w:color w:val="FF0000"/>
          <w:sz w:val="48"/>
          <w:szCs w:val="48"/>
        </w:rPr>
        <w:t>广西壮族自治区柳州市市场监督管理局</w:t>
      </w:r>
    </w:p>
    <w:p>
      <w:pPr>
        <w:rPr>
          <w:rFonts w:hint="eastAsia"/>
          <w:sz w:val="48"/>
          <w:szCs w:val="48"/>
        </w:rPr>
      </w:pPr>
      <w:r>
        <w:rPr>
          <w:rFonts w:hint="eastAsia"/>
          <w:sz w:val="48"/>
          <w:szCs w:val="48"/>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lang w:eastAsia="zh-CN"/>
        </w:rPr>
        <w:t>年</w:t>
      </w:r>
      <w:r>
        <w:rPr>
          <w:rFonts w:hint="eastAsia" w:ascii="方正小标宋简体" w:hAnsi="方正小标宋简体" w:eastAsia="方正小标宋简体" w:cs="方正小标宋简体"/>
          <w:b w:val="0"/>
          <w:bCs w:val="0"/>
          <w:sz w:val="44"/>
          <w:szCs w:val="44"/>
        </w:rPr>
        <w:t>柳州市电梯应急处置工作简报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柳州市电梯应急处置服务平台统计分析，截止2021年年全市在用电梯数量为17784台，较2020年增长2391台，平台清理冗余电梯数据744台，处置电梯困人事件1025起，困人率为5.76%，电梯非困人故障199起，电梯投诉147起，成功解救被困人员1993人。2021年平均每日发生2.8起电梯困人事件，维保单位救援到达现场平均用时12.15分钟，比法定时间缩短60%，现场平均救援时间6.66分钟，同比平均救援时间快6.72%。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一、2021年按时间段分析</w:t>
      </w:r>
    </w:p>
    <w:tbl>
      <w:tblPr>
        <w:tblStyle w:val="7"/>
        <w:tblW w:w="838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926"/>
        <w:gridCol w:w="2204"/>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序号</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发生困人时间段</w:t>
            </w:r>
          </w:p>
        </w:tc>
        <w:tc>
          <w:tcPr>
            <w:tcW w:w="22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困人数量（起）</w:t>
            </w:r>
          </w:p>
        </w:tc>
        <w:tc>
          <w:tcPr>
            <w:tcW w:w="242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00:00-04:00</w:t>
            </w:r>
          </w:p>
        </w:tc>
        <w:tc>
          <w:tcPr>
            <w:tcW w:w="2204"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63</w:t>
            </w:r>
          </w:p>
        </w:tc>
        <w:tc>
          <w:tcPr>
            <w:tcW w:w="2420"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6.1</w:t>
            </w:r>
            <w:r>
              <w:rPr>
                <w:rFonts w:hint="eastAsia" w:ascii="仿宋_GB2312" w:hAnsi="仿宋_GB2312" w:eastAsia="仿宋_GB2312" w:cs="仿宋_GB2312"/>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04:00-08:00</w:t>
            </w:r>
          </w:p>
        </w:tc>
        <w:tc>
          <w:tcPr>
            <w:tcW w:w="2204"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108</w:t>
            </w:r>
          </w:p>
        </w:tc>
        <w:tc>
          <w:tcPr>
            <w:tcW w:w="2420"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08:00-12:00</w:t>
            </w:r>
          </w:p>
        </w:tc>
        <w:tc>
          <w:tcPr>
            <w:tcW w:w="2204"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223</w:t>
            </w:r>
          </w:p>
        </w:tc>
        <w:tc>
          <w:tcPr>
            <w:tcW w:w="2420"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21.6</w:t>
            </w:r>
            <w:r>
              <w:rPr>
                <w:rFonts w:hint="eastAsia" w:ascii="仿宋_GB2312" w:hAnsi="仿宋_GB2312" w:eastAsia="仿宋_GB2312" w:cs="仿宋_GB2312"/>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12:00-16:00</w:t>
            </w:r>
          </w:p>
        </w:tc>
        <w:tc>
          <w:tcPr>
            <w:tcW w:w="2204"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184</w:t>
            </w:r>
          </w:p>
        </w:tc>
        <w:tc>
          <w:tcPr>
            <w:tcW w:w="2420"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16:00-20:00</w:t>
            </w:r>
          </w:p>
        </w:tc>
        <w:tc>
          <w:tcPr>
            <w:tcW w:w="2204"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266</w:t>
            </w:r>
          </w:p>
        </w:tc>
        <w:tc>
          <w:tcPr>
            <w:tcW w:w="2420"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9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20:00-24:00</w:t>
            </w:r>
          </w:p>
        </w:tc>
        <w:tc>
          <w:tcPr>
            <w:tcW w:w="2204"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181</w:t>
            </w:r>
          </w:p>
        </w:tc>
        <w:tc>
          <w:tcPr>
            <w:tcW w:w="2420" w:type="dxa"/>
            <w:vAlign w:val="bottom"/>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17.66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val="0"/>
          <w:i w:val="0"/>
          <w:caps w:val="0"/>
          <w:color w:val="000000"/>
          <w:spacing w:val="0"/>
          <w:sz w:val="32"/>
          <w:szCs w:val="32"/>
          <w:shd w:val="clear" w:fill="FFFFFF"/>
        </w:rPr>
        <w:t>结论：</w:t>
      </w:r>
      <w:r>
        <w:rPr>
          <w:rFonts w:hint="eastAsia" w:ascii="仿宋_GB2312" w:hAnsi="仿宋_GB2312" w:eastAsia="仿宋_GB2312" w:cs="仿宋_GB2312"/>
          <w:b w:val="0"/>
          <w:bCs/>
          <w:i w:val="0"/>
          <w:caps w:val="0"/>
          <w:color w:val="000000"/>
          <w:spacing w:val="0"/>
          <w:sz w:val="32"/>
          <w:szCs w:val="32"/>
          <w:shd w:val="clear" w:fill="FFFFFF"/>
        </w:rPr>
        <w:t>困人高发段出现在</w:t>
      </w:r>
      <w:r>
        <w:rPr>
          <w:rFonts w:hint="eastAsia" w:ascii="仿宋_GB2312" w:hAnsi="仿宋_GB2312" w:eastAsia="仿宋_GB2312" w:cs="仿宋_GB2312"/>
          <w:b w:val="0"/>
          <w:bCs/>
          <w:i w:val="0"/>
          <w:caps w:val="0"/>
          <w:color w:val="000000"/>
          <w:spacing w:val="0"/>
          <w:sz w:val="32"/>
          <w:szCs w:val="32"/>
          <w:shd w:val="clear" w:fill="FFFFFF"/>
          <w:lang w:val="en-US" w:eastAsia="zh-CN"/>
        </w:rPr>
        <w:t>16</w:t>
      </w:r>
      <w:r>
        <w:rPr>
          <w:rFonts w:hint="eastAsia" w:ascii="仿宋_GB2312" w:hAnsi="仿宋_GB2312" w:eastAsia="仿宋_GB2312" w:cs="仿宋_GB2312"/>
          <w:b w:val="0"/>
          <w:bCs/>
          <w:i w:val="0"/>
          <w:caps w:val="0"/>
          <w:color w:val="000000"/>
          <w:spacing w:val="0"/>
          <w:sz w:val="32"/>
          <w:szCs w:val="32"/>
          <w:shd w:val="clear" w:fill="FFFFFF"/>
        </w:rPr>
        <w:t>:00-</w:t>
      </w:r>
      <w:r>
        <w:rPr>
          <w:rFonts w:hint="eastAsia" w:ascii="仿宋_GB2312" w:hAnsi="仿宋_GB2312" w:eastAsia="仿宋_GB2312" w:cs="仿宋_GB2312"/>
          <w:b w:val="0"/>
          <w:bCs/>
          <w:i w:val="0"/>
          <w:caps w:val="0"/>
          <w:color w:val="000000"/>
          <w:spacing w:val="0"/>
          <w:sz w:val="32"/>
          <w:szCs w:val="32"/>
          <w:shd w:val="clear" w:fill="FFFFFF"/>
          <w:lang w:val="en-US" w:eastAsia="zh-CN"/>
        </w:rPr>
        <w:t>20</w:t>
      </w:r>
      <w:r>
        <w:rPr>
          <w:rFonts w:hint="eastAsia" w:ascii="仿宋_GB2312" w:hAnsi="仿宋_GB2312" w:eastAsia="仿宋_GB2312" w:cs="仿宋_GB2312"/>
          <w:b w:val="0"/>
          <w:bCs/>
          <w:i w:val="0"/>
          <w:caps w:val="0"/>
          <w:color w:val="000000"/>
          <w:spacing w:val="0"/>
          <w:sz w:val="32"/>
          <w:szCs w:val="32"/>
          <w:shd w:val="clear" w:fill="FFFFFF"/>
        </w:rPr>
        <w:t>:00期间</w:t>
      </w:r>
      <w:r>
        <w:rPr>
          <w:rFonts w:hint="eastAsia" w:ascii="仿宋_GB2312" w:hAnsi="仿宋_GB2312" w:eastAsia="仿宋_GB2312" w:cs="仿宋_GB2312"/>
          <w:b w:val="0"/>
          <w:bCs/>
          <w:i w:val="0"/>
          <w:caps w:val="0"/>
          <w:color w:val="000000"/>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二、2021年按维保单位分析</w:t>
      </w:r>
    </w:p>
    <w:tbl>
      <w:tblPr>
        <w:tblStyle w:val="6"/>
        <w:tblW w:w="83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3634"/>
        <w:gridCol w:w="739"/>
        <w:gridCol w:w="761"/>
        <w:gridCol w:w="774"/>
        <w:gridCol w:w="819"/>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维保单位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电梯数量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困人故障</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其他故障</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困人率(%)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总故障占比(%)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eastAsia" w:ascii="汉仪长宋简" w:hAnsi="汉仪长宋简" w:eastAsia="汉仪长宋简" w:cs="汉仪长宋简"/>
                <w:b w:val="0"/>
                <w:bCs/>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353060</wp:posOffset>
                      </wp:positionV>
                      <wp:extent cx="60579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27.8pt;height:0pt;width:477pt;z-index:251661312;mso-width-relative:page;mso-height-relative:page;" filled="f" stroked="t" coordsize="21600,21600" o:gfxdata="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EDQLUAAAABwEAAA8AAAAAAAAAAQAgAAAAIgAAAGRycy9kb3ducmV2Lnht&#10;bFBLAQIUABQAAAAIAIdO4kD1arUA/QEAAOsDAAAOAAAAAAAAAAEAIAAAACMBAABkcnMvZTJvRG9j&#10;LnhtbFBLBQYAAAAABgAGAFkBAACSBQAAAAA=&#10;">
                      <v:fill on="f" focussize="0,0"/>
                      <v:stroke weight="4.5pt" color="#FF0000" linestyle="thinThick" joinstyle="round"/>
                      <v:imagedata o:title=""/>
                      <o:lock v:ext="edit" aspectratio="f"/>
                    </v:line>
                  </w:pict>
                </mc:Fallback>
              </mc:AlternateContent>
            </w:r>
            <w:r>
              <w:rPr>
                <w:rFonts w:hint="default" w:ascii="Calibri" w:hAnsi="Calibri" w:eastAsia="宋体" w:cs="Calibri"/>
                <w:i w:val="0"/>
                <w:iCs w:val="0"/>
                <w:color w:val="000000"/>
                <w:kern w:val="0"/>
                <w:sz w:val="22"/>
                <w:szCs w:val="22"/>
                <w:u w:val="none"/>
                <w:lang w:val="en-US" w:eastAsia="zh-CN" w:bidi="ar"/>
              </w:rPr>
              <w:t>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广西泰珩电梯有限公司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南宁市浪柴机电工程有限公司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广西东信电梯工程有限公司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申龙电梯股份有限公司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广西联奥电梯工程有限公司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16.25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柳州市升立电梯机电有限公司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广西华奥电梯工程有限公司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柳州市广日电梯工程有限公司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广西奥森机电设备有限公司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肇庆利通电梯有限公司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广西快德力电梯工程服务有限公司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广西日富电梯有限公司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广西乾潮电梯工程有限公司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广西道弘电梯设备工程有限公司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广西步步兴电梯工程有限公司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广西冠丰机电工程有限公司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广西沃克斯电梯有限公司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广西福美楼宇设备有限公司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广西建工电梯空调工程有限责任公司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南宁永日电梯工程有限责任公司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广西森鑫机电工程有限公司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广西巨菱电梯有限公司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快奥电梯有限公司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柳州市安达电梯空调设备工程有限公司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西继迅达电梯有限公司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广西云捷电梯工程有限公司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奥的斯机电电梯有限公司南宁分公司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广西天泰电梯有限公司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通用电梯（湖南）有限公司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广西欧立电梯工程有限公司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广西通宜电梯工程有限公司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柳州市卓通电梯空调有限公司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柳州市延昌电梯有限公司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广西信安电梯工程有限公司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柳州市柳菱电梯空调工程有限公司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广西超巨电梯有限公司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柳州市日欧电梯工程有限公司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广西瑞翔电梯工程有限公司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巨人通力电梯有限公司广西分公司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广西鑫维诚电梯有限公司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迅达（中国）电梯有限公司广西分公司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广西广川电梯有限公司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广西昀奥电梯空调工程有限公司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广州奥的斯电梯有限公司南宁分公司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柳州市迅驰电梯工程有限公司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通力电梯有限公司南宁分公司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1716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广西兆隆电梯空调工程有限公司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广西坤城电梯工程有限公司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广西友诚电梯工程有限公司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广西迅通电梯安装工程有限责任公司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广西骏菱机电设备有限公司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广西威鹏机电安装工程有限公司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广西盛尧电梯工程有限公司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上海三菱电梯有限公司柳州分公司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广东广船国际电梯机电设备有限公司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广西中梦电梯有限公司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苏州法奥电梯有限公司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广西杭奥电梯有限公司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日立电梯（中国）有限公司广西分公司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广西欧日电梯服务集团有限公司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永大电梯设备（中国）有限公司广西分公司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康力电梯股份有限公司广西分公司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华升富士达电梯有限公司南宁分公司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广西祥盛电梯工程有限公司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蒂升电梯（中国）有限公司南宁分公司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广西烨君电梯空调设备有限公司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r>
              <w:rPr>
                <w:rFonts w:hint="eastAsia" w:ascii="Calibri" w:hAnsi="Calibri" w:eastAsia="宋体" w:cs="Calibri"/>
                <w:i w:val="0"/>
                <w:iCs w:val="0"/>
                <w:color w:val="000000"/>
                <w:kern w:val="0"/>
                <w:sz w:val="22"/>
                <w:szCs w:val="22"/>
                <w:u w:val="none"/>
                <w:lang w:val="en-US" w:eastAsia="zh-CN" w:bidi="ar"/>
              </w:rPr>
              <w:t>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柳州森奥电梯有限公司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69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广西力祺电梯有限公司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70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杭州西奥电梯有限公司广西分公司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r>
              <w:rPr>
                <w:rFonts w:hint="eastAsia" w:ascii="Calibri" w:hAnsi="Calibri" w:eastAsia="宋体" w:cs="Calibri"/>
                <w:i w:val="0"/>
                <w:iCs w:val="0"/>
                <w:color w:val="000000"/>
                <w:kern w:val="0"/>
                <w:sz w:val="22"/>
                <w:szCs w:val="22"/>
                <w:u w:val="none"/>
                <w:lang w:val="en-US" w:eastAsia="zh-CN" w:bidi="ar"/>
              </w:rPr>
              <w:t>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广西万聚设备安装有限公司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r>
              <w:rPr>
                <w:rFonts w:hint="eastAsia" w:ascii="Calibri" w:hAnsi="Calibri" w:eastAsia="宋体" w:cs="Calibri"/>
                <w:i w:val="0"/>
                <w:iCs w:val="0"/>
                <w:color w:val="000000"/>
                <w:kern w:val="0"/>
                <w:sz w:val="22"/>
                <w:szCs w:val="22"/>
                <w:u w:val="none"/>
                <w:lang w:val="en-US" w:eastAsia="zh-CN" w:bidi="ar"/>
              </w:rPr>
              <w:t>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广东中园电梯工程有限公司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r>
              <w:rPr>
                <w:rFonts w:hint="eastAsia" w:ascii="Calibri" w:hAnsi="Calibri" w:eastAsia="宋体" w:cs="Calibri"/>
                <w:i w:val="0"/>
                <w:iCs w:val="0"/>
                <w:color w:val="000000"/>
                <w:kern w:val="0"/>
                <w:sz w:val="22"/>
                <w:szCs w:val="22"/>
                <w:u w:val="none"/>
                <w:lang w:val="en-US" w:eastAsia="zh-CN" w:bidi="ar"/>
              </w:rPr>
              <w:t>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广西奥通电梯工程有限公司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r>
              <w:rPr>
                <w:rFonts w:hint="eastAsia" w:ascii="Calibri" w:hAnsi="Calibri" w:eastAsia="宋体" w:cs="Calibri"/>
                <w:i w:val="0"/>
                <w:iCs w:val="0"/>
                <w:color w:val="000000"/>
                <w:kern w:val="0"/>
                <w:sz w:val="22"/>
                <w:szCs w:val="22"/>
                <w:u w:val="none"/>
                <w:lang w:val="en-US" w:eastAsia="zh-CN" w:bidi="ar"/>
              </w:rPr>
              <w:t>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广西柏立电梯工程有限公司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r>
              <w:rPr>
                <w:rFonts w:hint="eastAsia" w:ascii="Calibri" w:hAnsi="Calibri" w:eastAsia="宋体" w:cs="Calibri"/>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广西邦冠电梯有限公司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r>
              <w:rPr>
                <w:rFonts w:hint="eastAsia" w:ascii="Calibri" w:hAnsi="Calibri" w:eastAsia="宋体" w:cs="Calibri"/>
                <w:i w:val="0"/>
                <w:iCs w:val="0"/>
                <w:color w:val="000000"/>
                <w:kern w:val="0"/>
                <w:sz w:val="22"/>
                <w:szCs w:val="22"/>
                <w:u w:val="none"/>
                <w:lang w:val="en-US" w:eastAsia="zh-CN" w:bidi="ar"/>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广西秉立电梯有限公司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77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广西恒超电梯空调工程有限公司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78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广西宏建电梯空调工程有限公司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79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广西砾坤机电工程有限公司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0</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广西瑞均机电设备有限责任公司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1</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广西盛信物业管理有限公司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2</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广西讯立达电梯有限公司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3</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广西展通机电设备有限公司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4</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广西卓誉机电工程有限公司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湖南凯诚机电工程有限公司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lang w:val="en-US"/>
              </w:rPr>
            </w:pPr>
            <w:r>
              <w:rPr>
                <w:rFonts w:hint="default" w:ascii="Calibri" w:hAnsi="Calibri" w:eastAsia="宋体" w:cs="Calibri"/>
                <w:i w:val="0"/>
                <w:iCs w:val="0"/>
                <w:color w:val="000000"/>
                <w:kern w:val="0"/>
                <w:sz w:val="22"/>
                <w:szCs w:val="22"/>
                <w:u w:val="none"/>
                <w:lang w:val="en-US" w:eastAsia="zh-CN" w:bidi="ar"/>
              </w:rPr>
              <w:t>8</w:t>
            </w:r>
            <w:r>
              <w:rPr>
                <w:rFonts w:hint="eastAsia" w:ascii="Calibri" w:hAnsi="Calibri" w:eastAsia="宋体" w:cs="Calibri"/>
                <w:i w:val="0"/>
                <w:iCs w:val="0"/>
                <w:color w:val="000000"/>
                <w:kern w:val="0"/>
                <w:sz w:val="22"/>
                <w:szCs w:val="22"/>
                <w:u w:val="none"/>
                <w:lang w:val="en-US" w:eastAsia="zh-CN" w:bidi="ar"/>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南宁宝进机电工程有限公司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87</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南宁博迈机电设备有限公司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88</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深圳圣达电梯有限公司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eastAsiaTheme="minorEastAsia"/>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89</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西继迅达电梯有限公司广西分公司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val="0"/>
          <w:bCs/>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rPr>
        <w:t>结论：</w:t>
      </w:r>
      <w:r>
        <w:rPr>
          <w:rFonts w:hint="eastAsia" w:ascii="仿宋_GB2312" w:hAnsi="仿宋_GB2312" w:eastAsia="仿宋_GB2312" w:cs="仿宋_GB2312"/>
          <w:b w:val="0"/>
          <w:bCs/>
          <w:i w:val="0"/>
          <w:caps w:val="0"/>
          <w:color w:val="000000"/>
          <w:spacing w:val="0"/>
          <w:sz w:val="32"/>
          <w:szCs w:val="32"/>
          <w:shd w:val="clear" w:fill="FFFFFF"/>
          <w:lang w:val="en-US" w:eastAsia="zh-CN"/>
        </w:rPr>
        <w:t>2021年</w:t>
      </w:r>
      <w:r>
        <w:rPr>
          <w:rFonts w:hint="eastAsia" w:ascii="仿宋_GB2312" w:hAnsi="仿宋_GB2312" w:eastAsia="仿宋_GB2312" w:cs="仿宋_GB2312"/>
          <w:b w:val="0"/>
          <w:bCs/>
          <w:i w:val="0"/>
          <w:caps w:val="0"/>
          <w:color w:val="000000"/>
          <w:spacing w:val="0"/>
          <w:sz w:val="32"/>
          <w:szCs w:val="32"/>
          <w:shd w:val="clear" w:fill="FFFFFF"/>
          <w:lang w:eastAsia="zh-CN"/>
        </w:rPr>
        <w:t>在我市先后备案并实际开展电梯维保业务的单位共</w:t>
      </w:r>
      <w:r>
        <w:rPr>
          <w:rFonts w:hint="eastAsia" w:ascii="仿宋_GB2312" w:hAnsi="仿宋_GB2312" w:eastAsia="仿宋_GB2312" w:cs="仿宋_GB2312"/>
          <w:b w:val="0"/>
          <w:bCs/>
          <w:i w:val="0"/>
          <w:caps w:val="0"/>
          <w:color w:val="000000"/>
          <w:spacing w:val="0"/>
          <w:sz w:val="32"/>
          <w:szCs w:val="32"/>
          <w:shd w:val="clear" w:fill="FFFFFF"/>
          <w:lang w:val="en-US" w:eastAsia="zh-CN"/>
        </w:rPr>
        <w:t>89家</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i w:val="0"/>
          <w:caps w:val="0"/>
          <w:color w:val="000000"/>
          <w:spacing w:val="0"/>
          <w:sz w:val="32"/>
          <w:szCs w:val="32"/>
          <w:shd w:val="clear" w:fill="FFFFFF"/>
          <w:lang w:val="en-US" w:eastAsia="zh-CN"/>
        </w:rPr>
        <w:t>74家发生电梯困人事件，</w:t>
      </w:r>
      <w:r>
        <w:rPr>
          <w:rFonts w:hint="eastAsia" w:ascii="仿宋_GB2312" w:hAnsi="仿宋_GB2312" w:eastAsia="仿宋_GB2312" w:cs="仿宋_GB2312"/>
          <w:b w:val="0"/>
          <w:bCs/>
          <w:i w:val="0"/>
          <w:caps w:val="0"/>
          <w:color w:val="000000"/>
          <w:spacing w:val="0"/>
          <w:sz w:val="32"/>
          <w:szCs w:val="32"/>
          <w:shd w:val="clear" w:fill="FFFFFF"/>
          <w:lang w:eastAsia="zh-CN"/>
        </w:rPr>
        <w:t>其余</w:t>
      </w:r>
      <w:r>
        <w:rPr>
          <w:rFonts w:hint="eastAsia" w:ascii="仿宋_GB2312" w:hAnsi="仿宋_GB2312" w:eastAsia="仿宋_GB2312" w:cs="仿宋_GB2312"/>
          <w:b w:val="0"/>
          <w:bCs/>
          <w:i w:val="0"/>
          <w:caps w:val="0"/>
          <w:color w:val="000000"/>
          <w:spacing w:val="0"/>
          <w:sz w:val="32"/>
          <w:szCs w:val="32"/>
          <w:shd w:val="clear" w:fill="FFFFFF"/>
          <w:lang w:val="en-US" w:eastAsia="zh-CN"/>
        </w:rPr>
        <w:t>15家维保单位未发生电梯困人事件。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三、2021年按使用单位分析（取电梯困人率前20名）</w:t>
      </w:r>
    </w:p>
    <w:tbl>
      <w:tblPr>
        <w:tblStyle w:val="6"/>
        <w:tblW w:w="9439"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4904"/>
        <w:gridCol w:w="715"/>
        <w:gridCol w:w="669"/>
        <w:gridCol w:w="727"/>
        <w:gridCol w:w="773"/>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使用单位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电梯数量</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困人故障</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其他故障</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困人率(%)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总故障占比(%)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柳州市友鑫房地产开发有限公司（沃德梦想）</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90.91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柳州市房地产开发有限责任公司（中房·世纪广场）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柳州市中房物业有限公司（胜利小区）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40.26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阳光壹佰物业发展有限公司柳州分公司</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28.97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广西柳州市建设投资开发有限责任公司（瑞景文苑）</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23.33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柳州市恒泰物业服务有限责任公司（华韵上城）</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柳州市金绿洲物业服务有限公司（金绿洲）</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柳州市福瑞物业有限责任公司（静兰小区）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9</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柳州市尚德物业服务有限公司（南亚名邸）</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18.37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10</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柳州市经济实用住房发展中心（石烂路保障房）</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11</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bottom"/>
              <w:rPr>
                <w:rFonts w:hint="default" w:ascii="Calibri" w:hAnsi="Calibri" w:cs="Calibri" w:eastAsiaTheme="minorEastAsia"/>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南宁科盛物业服务有限公司柳州分公司（地王公馆）</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cs="Calibri"/>
                <w:i w:val="0"/>
                <w:iCs w:val="0"/>
                <w:color w:val="000000"/>
                <w:sz w:val="22"/>
                <w:szCs w:val="22"/>
                <w:u w:val="none"/>
                <w:lang w:val="en-US" w:eastAsia="zh-CN"/>
              </w:rPr>
              <w:t>39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cs="Calibri"/>
                <w:i w:val="0"/>
                <w:iCs w:val="0"/>
                <w:color w:val="000000"/>
                <w:sz w:val="22"/>
                <w:szCs w:val="22"/>
                <w:u w:val="none"/>
                <w:lang w:val="en-US" w:eastAsia="zh-CN"/>
              </w:rPr>
              <w:t>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cs="Calibri"/>
                <w:i w:val="0"/>
                <w:iCs w:val="0"/>
                <w:color w:val="000000"/>
                <w:sz w:val="22"/>
                <w:szCs w:val="22"/>
                <w:u w:val="none"/>
                <w:lang w:val="en-US" w:eastAsia="zh-CN"/>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cs="Calibri"/>
                <w:i w:val="0"/>
                <w:iCs w:val="0"/>
                <w:color w:val="000000"/>
                <w:sz w:val="22"/>
                <w:szCs w:val="22"/>
                <w:u w:val="none"/>
                <w:lang w:val="en-US" w:eastAsia="zh-CN"/>
              </w:rPr>
              <w:t>17.95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eastAsiaTheme="minorEastAsia"/>
                <w:i w:val="0"/>
                <w:iCs w:val="0"/>
                <w:color w:val="000000"/>
                <w:kern w:val="2"/>
                <w:sz w:val="22"/>
                <w:szCs w:val="22"/>
                <w:u w:val="none"/>
                <w:lang w:val="en-US" w:eastAsia="zh-CN" w:bidi="ar-SA"/>
              </w:rPr>
            </w:pPr>
            <w:r>
              <w:rPr>
                <w:rFonts w:hint="eastAsia" w:ascii="Calibri" w:hAnsi="Calibri" w:cs="Calibri"/>
                <w:i w:val="0"/>
                <w:iCs w:val="0"/>
                <w:color w:val="000000"/>
                <w:sz w:val="22"/>
                <w:szCs w:val="22"/>
                <w:u w:val="none"/>
                <w:lang w:val="en-US" w:eastAsia="zh-CN"/>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12</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深圳市万象美物业管理有限公司柳州分公司（柳南万达广场）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13</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柳州市福瑞物业服务有限责任公司（桃花源）</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14</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广西柳州腾安房地产开发有限责任公司（腾安金碧苑）</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15</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柳州市商业港物业服务有限责任公司（新时代商业港）</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16</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广西福来物业服务有限责任公司（大城小院）</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17</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广西雄鹰机械有限公司</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13.89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18</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柳州正和物业服务有限公司（谷埠街国际商城）</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11.21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19</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广西冠亚房地产开发有限公司（冠亚.国际星城）</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lang w:val="en-US"/>
              </w:rPr>
            </w:pPr>
            <w:r>
              <w:rPr>
                <w:rFonts w:hint="eastAsia" w:ascii="Calibri" w:hAnsi="Calibri" w:eastAsia="宋体" w:cs="Calibri"/>
                <w:i w:val="0"/>
                <w:iCs w:val="0"/>
                <w:color w:val="000000"/>
                <w:kern w:val="0"/>
                <w:sz w:val="22"/>
                <w:szCs w:val="22"/>
                <w:u w:val="none"/>
                <w:lang w:val="en-US" w:eastAsia="zh-CN" w:bidi="ar"/>
              </w:rPr>
              <w:t>20</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阳光壹佰物业发展有限公司柳州分公司（窑埠古镇）</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四、2021年按制造单位分析</w:t>
      </w:r>
    </w:p>
    <w:tbl>
      <w:tblPr>
        <w:tblStyle w:val="6"/>
        <w:tblW w:w="88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4038"/>
        <w:gridCol w:w="739"/>
        <w:gridCol w:w="738"/>
        <w:gridCol w:w="716"/>
        <w:gridCol w:w="86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制造单位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电梯数量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困人故障</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其他故障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困人率(%)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总故障占比(%)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东莞市日富电梯有限公司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东莞市西门子电梯公司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上海东芝电梯厂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苏州江南快速电梯有限公司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西子奥迪斯电梯有限公司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奥克斯快速电梯（苏州）有限公司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66.7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东莞市宝马电梯有限公司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广东西奥电梯有限公司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佛山市通力电梯起重设备有限公司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柳州市威乐斯电梯厂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上海房屋设备有限公司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苏州帝奥电梯有限公司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22.6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曼隆电梯有限公司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东莞市塞纳电梯有限公司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杭州优耐德电梯有限公司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广州日创电梯有限公司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18.8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杭州新马电梯有限公司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东莞快意电梯有限公司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16.7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广东康迪克电梯有限公司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16.7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15.8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西子奥的斯（重庆）电梯有限公司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15.8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佛山住友富士电梯有限公司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15.4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广州市海力格电梯有限公司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珠江富士电梯（中国）有限公司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14.3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林肯电梯（中国）有限公司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苏州江南嘉捷电梯股份有限公司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12.8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广东皇朝富士电梯有限公司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西子优耐德电梯有限公司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东芝电梯（中国）有限公司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12.1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广州日立电梯有限公司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武汉智能电梯有限公司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辽宁富士电梯有限公司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松日电梯有限公司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怡达快速电梯有限公司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东莞市快意电梯有限公司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优耐德电梯有限公司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巨人通力电梯有限公司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大连星玛电梯有限公司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广州海力格电梯有限公司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三洋电梯（珠海）有限公司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沈阳博林特电梯集团股份有限公司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沃克斯电梯（中国）有限公司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杭州霍普曼电梯有限公司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9.9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广州广日电梯工业有限公司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广东亚太通力电梯有限公司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9.7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上海爱登堡电梯有限公司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浙江富控电梯有限公司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9.1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柳州市升立电梯有限公司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上海永大电梯设备有限公司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西子奥的斯电梯有限公司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广州永日电梯有限公司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天津奥的斯电梯有限公司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富士通电梯（深圳）有限公司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西子电梯科技有限公司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西继迅达（许昌）电梯有限公司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蒂森电梯有限公司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广东亚太西奥电梯有限公司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蒂森克虏伯电梯（上海）有限公司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申龙电梯股份有限公司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菱王电梯股份有限公司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美迪斯电梯有限公司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广东菱王电梯有限公司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5.6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亚洲富士长林电梯（新余）有限公司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5.6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许昌西继电梯有限公司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杭州西子奥的斯电梯有限公司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苏州迅达电梯有限公司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西继迅达电梯有限公司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曼隆蒂森克虏伯电梯有限公司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江南嘉捷电梯股份有限公司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快意电梯股份有限公司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永大电梯设备（中国）有限公司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浙江威特电梯有限公司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奥的斯机电电梯有限公司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通力电梯有限公司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西尼电梯（杭州）有限公司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奥的斯电梯（中国）有限公司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康力电梯股份有限公司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日立电梯（中国）有限公司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广东广船国际电梯有限公司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广东台日电梯有限公司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上海三菱电梯有限公司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上海现代电梯制造有限公司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南宁市德泰电梯制造有限公司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苏州法奥电梯有限公司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2.8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华升富士达电梯有限公司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惠州市远大电梯有限公司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杭州西奥电梯有限公司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2.6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快速电梯有限公司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西子西奥电梯有限公司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爱默生电梯有限公司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三菱电机上海机电电梯有限公司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迅达（中国）电梯有限公司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西尼机电（杭州）有限公司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江苏西德电梯有限公司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广东华凯电梯有限公司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广东联合富士电梯有限公司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上海长江斯迈普电梯有限公司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苏州菱奥电梯有限公司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通力电梯国际（中国）有限公司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c>
          <w:tcPr>
            <w:tcW w:w="4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住友富士电梯有限公司</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五、2021年按电梯投入使用年限分析</w:t>
      </w:r>
    </w:p>
    <w:tbl>
      <w:tblPr>
        <w:tblStyle w:val="6"/>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627"/>
        <w:gridCol w:w="1258"/>
        <w:gridCol w:w="1246"/>
        <w:gridCol w:w="1223"/>
        <w:gridCol w:w="1362"/>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使用年限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电梯数量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困人故障</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其他故障</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困人率(%)</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总故障占比(%)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5年以内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11280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436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96</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3.87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43.46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5年到10年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4688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370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65</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7.89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10年到15年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1636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145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8.86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15年以上</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707</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74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10.47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6.78</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rPr>
        <w:t>结论：</w:t>
      </w:r>
      <w:r>
        <w:rPr>
          <w:rFonts w:hint="eastAsia" w:ascii="仿宋_GB2312" w:hAnsi="仿宋_GB2312" w:eastAsia="仿宋_GB2312" w:cs="仿宋_GB2312"/>
          <w:b w:val="0"/>
          <w:bCs w:val="0"/>
          <w:sz w:val="32"/>
          <w:szCs w:val="32"/>
        </w:rPr>
        <w:t>使用年限</w:t>
      </w:r>
      <w:r>
        <w:rPr>
          <w:rFonts w:hint="eastAsia" w:ascii="仿宋_GB2312" w:hAnsi="仿宋_GB2312" w:eastAsia="仿宋_GB2312" w:cs="仿宋_GB2312"/>
          <w:b w:val="0"/>
          <w:bCs w:val="0"/>
          <w:sz w:val="32"/>
          <w:szCs w:val="32"/>
          <w:lang w:val="en-US" w:eastAsia="zh-CN"/>
        </w:rPr>
        <w:t>15年以上</w:t>
      </w:r>
      <w:r>
        <w:rPr>
          <w:rFonts w:hint="eastAsia" w:ascii="仿宋_GB2312" w:hAnsi="仿宋_GB2312" w:eastAsia="仿宋_GB2312" w:cs="仿宋_GB2312"/>
          <w:b w:val="0"/>
          <w:bCs w:val="0"/>
          <w:sz w:val="32"/>
          <w:szCs w:val="32"/>
        </w:rPr>
        <w:t>的电梯困人率最高。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六、2021年按到达现场时间和救援时间分析</w:t>
      </w:r>
    </w:p>
    <w:tbl>
      <w:tblPr>
        <w:tblStyle w:val="6"/>
        <w:tblW w:w="88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1730"/>
        <w:gridCol w:w="1166"/>
        <w:gridCol w:w="1079"/>
        <w:gridCol w:w="1667"/>
        <w:gridCol w:w="1523"/>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序号</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按到达现场时间分析</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按救援时间（包含到达现场时间）分析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Calibri" w:eastAsia="仿宋_GB2312" w:cs="仿宋_GB2312"/>
                <w:i w:val="0"/>
                <w:iCs w:val="0"/>
                <w:color w:val="000000"/>
                <w:sz w:val="24"/>
                <w:szCs w:val="24"/>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到达现场时间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困人故障(起)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占比(%)</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救援时间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困人故障(起)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0-10分钟</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0-15分钟</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10-20分钟</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15-30分钟</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20-30分钟</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30-60分钟</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30-60分钟</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60-120分钟</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60分钟以上</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120分钟以上</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结论：</w:t>
      </w:r>
      <w:r>
        <w:rPr>
          <w:rFonts w:hint="eastAsia" w:ascii="仿宋_GB2312" w:hAnsi="仿宋_GB2312" w:eastAsia="仿宋_GB2312" w:cs="仿宋_GB2312"/>
          <w:b w:val="0"/>
          <w:bCs w:val="0"/>
          <w:sz w:val="32"/>
          <w:szCs w:val="32"/>
        </w:rPr>
        <w:t>运行期间，</w:t>
      </w:r>
      <w:r>
        <w:rPr>
          <w:rFonts w:hint="eastAsia" w:ascii="仿宋_GB2312" w:hAnsi="仿宋_GB2312" w:eastAsia="仿宋_GB2312" w:cs="仿宋_GB2312"/>
          <w:b w:val="0"/>
          <w:bCs w:val="0"/>
          <w:sz w:val="32"/>
          <w:szCs w:val="32"/>
          <w:lang w:eastAsia="zh-CN"/>
        </w:rPr>
        <w:t>电梯</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能够积极配合</w:t>
      </w:r>
      <w:r>
        <w:rPr>
          <w:rFonts w:hint="eastAsia" w:ascii="仿宋_GB2312" w:hAnsi="仿宋_GB2312" w:eastAsia="仿宋_GB2312" w:cs="仿宋_GB2312"/>
          <w:b w:val="0"/>
          <w:bCs w:val="0"/>
          <w:sz w:val="32"/>
          <w:szCs w:val="32"/>
          <w:lang w:eastAsia="zh-CN"/>
        </w:rPr>
        <w:t>电梯应急处置服务平台的</w:t>
      </w:r>
      <w:r>
        <w:rPr>
          <w:rFonts w:hint="eastAsia" w:ascii="仿宋_GB2312" w:hAnsi="仿宋_GB2312" w:eastAsia="仿宋_GB2312" w:cs="仿宋_GB2312"/>
          <w:b w:val="0"/>
          <w:bCs w:val="0"/>
          <w:sz w:val="32"/>
          <w:szCs w:val="32"/>
        </w:rPr>
        <w:t>指令，救援行动较迅速。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七、2021年按行政区域分析</w:t>
      </w:r>
    </w:p>
    <w:p>
      <w:pPr>
        <w:keepNext w:val="0"/>
        <w:keepLines w:val="0"/>
        <w:pageBreakBefore w:val="0"/>
        <w:kinsoku/>
        <w:wordWrap/>
        <w:overflowPunct/>
        <w:topLinePunct w:val="0"/>
        <w:autoSpaceDE/>
        <w:autoSpaceDN/>
        <w:bidi w:val="0"/>
        <w:adjustRightInd/>
        <w:snapToGrid/>
        <w:spacing w:line="240" w:lineRule="auto"/>
        <w:ind w:right="0" w:rightChars="0"/>
        <w:jc w:val="center"/>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inline distT="0" distB="0" distL="114300" distR="114300">
            <wp:extent cx="4970780" cy="3314065"/>
            <wp:effectExtent l="0" t="0" r="1270" b="635"/>
            <wp:docPr id="5" name="图片 5" descr="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art (7)"/>
                    <pic:cNvPicPr>
                      <a:picLocks noChangeAspect="1"/>
                    </pic:cNvPicPr>
                  </pic:nvPicPr>
                  <pic:blipFill>
                    <a:blip r:embed="rId5"/>
                    <a:stretch>
                      <a:fillRect/>
                    </a:stretch>
                  </pic:blipFill>
                  <pic:spPr>
                    <a:xfrm>
                      <a:off x="0" y="0"/>
                      <a:ext cx="4970780" cy="33140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结论：</w:t>
      </w:r>
      <w:r>
        <w:rPr>
          <w:rFonts w:hint="eastAsia" w:ascii="仿宋_GB2312" w:hAnsi="仿宋_GB2312" w:eastAsia="仿宋_GB2312" w:cs="仿宋_GB2312"/>
          <w:b w:val="0"/>
          <w:bCs w:val="0"/>
          <w:sz w:val="32"/>
          <w:szCs w:val="32"/>
          <w:lang w:val="en-US" w:eastAsia="zh-CN"/>
        </w:rPr>
        <w:t>柳南区、城中区发生电梯困人事件数量较高。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八、2021年按使用场所分析</w:t>
      </w:r>
    </w:p>
    <w:p>
      <w:pPr>
        <w:rPr>
          <w:rFonts w:hint="eastAsia"/>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62336" behindDoc="0" locked="0" layoutInCell="1" allowOverlap="1">
            <wp:simplePos x="0" y="0"/>
            <wp:positionH relativeFrom="column">
              <wp:posOffset>276860</wp:posOffset>
            </wp:positionH>
            <wp:positionV relativeFrom="paragraph">
              <wp:posOffset>4445</wp:posOffset>
            </wp:positionV>
            <wp:extent cx="5061585" cy="3376295"/>
            <wp:effectExtent l="0" t="0" r="5715" b="14605"/>
            <wp:wrapTopAndBottom/>
            <wp:docPr id="4" name="图片 4"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art (2)"/>
                    <pic:cNvPicPr>
                      <a:picLocks noChangeAspect="1"/>
                    </pic:cNvPicPr>
                  </pic:nvPicPr>
                  <pic:blipFill>
                    <a:blip r:embed="rId6"/>
                    <a:stretch>
                      <a:fillRect/>
                    </a:stretch>
                  </pic:blipFill>
                  <pic:spPr>
                    <a:xfrm>
                      <a:off x="0" y="0"/>
                      <a:ext cx="5061585" cy="337629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结论：</w:t>
      </w:r>
      <w:r>
        <w:rPr>
          <w:rFonts w:hint="eastAsia" w:ascii="仿宋_GB2312" w:hAnsi="仿宋_GB2312" w:eastAsia="仿宋_GB2312" w:cs="仿宋_GB2312"/>
          <w:b w:val="0"/>
          <w:bCs w:val="0"/>
          <w:sz w:val="32"/>
          <w:szCs w:val="32"/>
        </w:rPr>
        <w:t>困人多发的使用场所主要集中在住宅。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九、2021年按困人原因分析</w:t>
      </w:r>
    </w:p>
    <w:tbl>
      <w:tblPr>
        <w:tblStyle w:val="7"/>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6"/>
        <w:gridCol w:w="1185"/>
        <w:gridCol w:w="3075"/>
        <w:gridCol w:w="1095"/>
        <w:gridCol w:w="120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序号</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类型</w:t>
            </w:r>
          </w:p>
        </w:tc>
        <w:tc>
          <w:tcPr>
            <w:tcW w:w="1185" w:type="dxa"/>
            <w:vMerge w:val="restart"/>
            <w:vAlign w:val="center"/>
          </w:tcPr>
          <w:p>
            <w:pPr>
              <w:keepNext w:val="0"/>
              <w:keepLines w:val="0"/>
              <w:widowControl/>
              <w:suppressLineNumbers w:val="0"/>
              <w:jc w:val="center"/>
              <w:textAlignment w:val="center"/>
              <w:rPr>
                <w:rFonts w:hint="default"/>
                <w:lang w:val="en-US" w:eastAsia="zh-CN"/>
              </w:rPr>
            </w:pPr>
            <w:r>
              <w:rPr>
                <w:rFonts w:hint="eastAsia" w:ascii="仿宋_GB2312" w:hAnsi="Calibri" w:eastAsia="仿宋_GB2312" w:cs="仿宋_GB2312"/>
                <w:i w:val="0"/>
                <w:iCs w:val="0"/>
                <w:color w:val="000000"/>
                <w:kern w:val="0"/>
                <w:sz w:val="24"/>
                <w:szCs w:val="24"/>
                <w:u w:val="none"/>
                <w:lang w:val="en-US" w:eastAsia="zh-CN" w:bidi="ar"/>
              </w:rPr>
              <w:t>困人故障</w:t>
            </w:r>
          </w:p>
        </w:tc>
        <w:tc>
          <w:tcPr>
            <w:tcW w:w="307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故障明细</w:t>
            </w:r>
          </w:p>
        </w:tc>
        <w:tc>
          <w:tcPr>
            <w:tcW w:w="109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占比（%）</w:t>
            </w:r>
          </w:p>
        </w:tc>
        <w:tc>
          <w:tcPr>
            <w:tcW w:w="120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困人起数</w:t>
            </w:r>
          </w:p>
        </w:tc>
        <w:tc>
          <w:tcPr>
            <w:tcW w:w="130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困人率（%）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占比（%）</w:t>
            </w:r>
          </w:p>
        </w:tc>
        <w:tc>
          <w:tcPr>
            <w:tcW w:w="307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09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200"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305" w:type="dxa"/>
            <w:vMerge w:val="continue"/>
            <w:vAlign w:val="center"/>
          </w:tcPr>
          <w:p>
            <w:pPr>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人为原因</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30</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生活垃圾导致开关门受阻，电梯停止运行</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38.6</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119</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野蛮搬运导致门变形，电梯无法运行</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2.2</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7</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装修垃圾导致开关门受阻，电梯停止运行</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17.1</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超载</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阻挡关门时间过长，电梯无法运行</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114</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外部原因</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24.5</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电梯在运行过程中出现的停电</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80.7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203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电气部件进水导致的短路故障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1.9</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机房温度过高，电气控制系统自动保护</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4.6</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故障后自动恢复运行</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0.4</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12.4</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门系统</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11.8</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轿门锁失效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12.1</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15</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厅门锁失效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33.9</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门机故障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11.3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14</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门刀与滚轮（球）间距调整不良</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8.1</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安全触板、光幕等防夹人保护装置无效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主动门与从动门之间的联动失效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1.6</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门触点失效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10.5</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门挂轮破损</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1.6</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门导向系统失效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19.4</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曳引系统</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0.6</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平衡系数不在标准范围内</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16.7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曳引轮（轴）严重磨损</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曳引机缺油或油量过多</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传动皮带过松</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16.7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钢丝绳卡阻或跳槽</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钢丝绳严重磨损</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变速箱故障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16.7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导向系统</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导靴严重磨损</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导轨润滑欠缺</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6</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轿厢</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2.2</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轿厢壁变形</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8.7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照明失效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紧急报警失效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87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控制系统</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16.2</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控制主板失效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10.5</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17</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电气元器件（接触器、继电器、驱动器件等）失效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25.1</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平层感应器失效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26.3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44</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极限开关、急停开关、维修开关等传感器失效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9</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19050"/>
                  <wp:effectExtent l="0" t="0" r="0"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Calibri" w:eastAsia="仿宋_GB2312" w:cs="仿宋_GB2312"/>
                <w:i w:val="0"/>
                <w:iCs w:val="0"/>
                <w:color w:val="000000"/>
                <w:kern w:val="0"/>
                <w:sz w:val="24"/>
                <w:szCs w:val="24"/>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19050"/>
                  <wp:effectExtent l="0" t="0" r="0" b="0"/>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Calibri" w:eastAsia="仿宋_GB2312" w:cs="仿宋_GB2312"/>
                <w:i w:val="0"/>
                <w:iCs w:val="0"/>
                <w:color w:val="000000"/>
                <w:kern w:val="0"/>
                <w:sz w:val="24"/>
                <w:szCs w:val="24"/>
                <w:u w:val="none"/>
                <w:lang w:val="en-US" w:eastAsia="zh-CN" w:bidi="ar"/>
              </w:rPr>
              <w:t>7</w:t>
            </w: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电气连接不可靠</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7</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bottom"/>
          </w:tcPr>
          <w:p>
            <w:pP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编码器失效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10</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bottom"/>
          </w:tcPr>
          <w:p>
            <w:pP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主电源开关失效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bottom"/>
          </w:tcPr>
          <w:p>
            <w:pPr>
              <w:jc w:val="both"/>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召唤失效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bottom"/>
          </w:tcPr>
          <w:p>
            <w:pPr>
              <w:jc w:val="both"/>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电梯重启故障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bottom"/>
          </w:tcPr>
          <w:p>
            <w:pPr>
              <w:jc w:val="both"/>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15.2</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25</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8</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电气系统</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5.4</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变频器失效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40.4</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电动机失效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3.5</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制动器故障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7</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主电源断开</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22.8</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其他</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21.1</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9</w:t>
            </w:r>
          </w:p>
        </w:tc>
        <w:tc>
          <w:tcPr>
            <w:tcW w:w="117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安全保护装置</w:t>
            </w:r>
          </w:p>
        </w:tc>
        <w:tc>
          <w:tcPr>
            <w:tcW w:w="118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9.4</w:t>
            </w: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安全回路断开</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36.4</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35</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消防开关失效</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限速器开关动作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18.2</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18</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安全钳开关动作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3</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缓冲器开关动作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2</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76"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1185" w:type="dxa"/>
            <w:vMerge w:val="continue"/>
            <w:vAlign w:val="center"/>
          </w:tcPr>
          <w:p>
            <w:pPr>
              <w:jc w:val="center"/>
              <w:rPr>
                <w:rFonts w:hint="eastAsia" w:ascii="仿宋_GB2312" w:hAnsi="仿宋_GB2312" w:eastAsia="仿宋_GB2312" w:cs="仿宋_GB2312"/>
                <w:color w:val="000000"/>
                <w:sz w:val="24"/>
                <w:szCs w:val="24"/>
                <w:lang w:val="en-US" w:eastAsia="zh-CN"/>
              </w:rPr>
            </w:pPr>
          </w:p>
        </w:tc>
        <w:tc>
          <w:tcPr>
            <w:tcW w:w="307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张紧轮开关动作</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17.2</w:t>
            </w:r>
          </w:p>
        </w:tc>
        <w:tc>
          <w:tcPr>
            <w:tcW w:w="120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17</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Calibri" w:eastAsia="仿宋_GB2312" w:cs="仿宋_GB2312"/>
                <w:i w:val="0"/>
                <w:iCs w:val="0"/>
                <w:color w:val="000000"/>
                <w:kern w:val="0"/>
                <w:sz w:val="24"/>
                <w:szCs w:val="24"/>
                <w:u w:val="none"/>
                <w:lang w:val="en-US" w:eastAsia="zh-CN" w:bidi="ar"/>
              </w:rPr>
              <w:t xml:space="preserve">0.10 </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结论：</w:t>
      </w:r>
      <w:r>
        <w:rPr>
          <w:rFonts w:hint="eastAsia" w:ascii="仿宋_GB2312" w:hAnsi="仿宋_GB2312" w:eastAsia="仿宋_GB2312" w:cs="仿宋_GB2312"/>
          <w:b w:val="0"/>
          <w:bCs w:val="0"/>
          <w:sz w:val="32"/>
          <w:szCs w:val="32"/>
          <w:lang w:val="en-US" w:eastAsia="zh-CN"/>
        </w:rPr>
        <w:t>电梯在运行过程中出现停电、生活和装修垃圾导致开关门受阻等人为原因</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b w:val="0"/>
          <w:bCs w:val="0"/>
          <w:sz w:val="32"/>
          <w:szCs w:val="32"/>
          <w:lang w:eastAsia="zh-CN"/>
        </w:rPr>
        <w:t>导致</w:t>
      </w:r>
      <w:r>
        <w:rPr>
          <w:rFonts w:hint="eastAsia" w:ascii="仿宋_GB2312" w:hAnsi="仿宋_GB2312" w:eastAsia="仿宋_GB2312" w:cs="仿宋_GB2312"/>
          <w:b w:val="0"/>
          <w:bCs w:val="0"/>
          <w:sz w:val="32"/>
          <w:szCs w:val="32"/>
        </w:rPr>
        <w:t>电梯困人的主要原因</w:t>
      </w:r>
      <w:r>
        <w:rPr>
          <w:rFonts w:hint="eastAsia" w:ascii="仿宋_GB2312" w:hAnsi="仿宋_GB2312" w:eastAsia="仿宋_GB2312" w:cs="仿宋_GB2312"/>
          <w:b w:val="0"/>
          <w:bCs w:val="0"/>
          <w:sz w:val="32"/>
          <w:szCs w:val="32"/>
          <w:lang w:eastAsia="zh-CN"/>
        </w:rPr>
        <w:t>，各电梯使用单位应加强电梯日常管理检查，督导乘客文明乘梯。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十一、案例分析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案例1：</w:t>
      </w:r>
      <w:r>
        <w:rPr>
          <w:rFonts w:hint="eastAsia" w:ascii="仿宋_GB2312" w:hAnsi="仿宋_GB2312" w:eastAsia="仿宋_GB2312" w:cs="仿宋_GB2312"/>
          <w:sz w:val="32"/>
          <w:szCs w:val="32"/>
          <w:lang w:val="en-US" w:eastAsia="zh-CN"/>
        </w:rPr>
        <w:t>柳州市某小区电梯发生困人故障，应急处理过程中了解到，该电梯不仅超出定期检验有效期，且无电梯维护保养单位，原管理电梯的物业公司因合同到期已经撤场，电梯处于无管理状态。相关市场监管部门已经介入调查，将对违法违规行为进一步处理，督促使用单位落实安全责任，</w:t>
      </w:r>
      <w:r>
        <w:rPr>
          <w:rFonts w:hint="eastAsia" w:ascii="仿宋_GB2312" w:hAnsi="仿宋_GB2312" w:eastAsia="仿宋_GB2312" w:cs="仿宋_GB2312"/>
          <w:color w:val="auto"/>
          <w:sz w:val="32"/>
          <w:szCs w:val="32"/>
          <w:lang w:val="en-US" w:eastAsia="zh-CN"/>
        </w:rPr>
        <w:t>确保电梯的安全运行，切实保障人民群众生命财产安全。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96111温馨提醒：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据《特种设备安全法》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第四十条，未经定期检验或者检验不合格的特种设备，不得继续使用；第三十九条，特种设备使用单位应当对其使用的特种设备进行经常性维护保养和定期自行检查，并作出记录。该小区业主作为电梯共有人负有实际管理电梯的义务，未能履行电梯安全管理义务，未能及时申报电梯定期检验，未聘请有资质的电梯公司对电梯进行维护保养，存在严重安全隐患。建议电梯的共有业主委托物业服务单位管理特种设备，按照法律法规的要求落实电梯安全管理责任，切实保障共有业主的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案例2：</w:t>
      </w:r>
      <w:r>
        <w:rPr>
          <w:rFonts w:hint="eastAsia" w:ascii="仿宋_GB2312" w:hAnsi="仿宋_GB2312" w:eastAsia="仿宋_GB2312" w:cs="仿宋_GB2312"/>
          <w:sz w:val="32"/>
          <w:szCs w:val="32"/>
          <w:lang w:val="en-US" w:eastAsia="zh-CN"/>
        </w:rPr>
        <w:t>柳州市某地下公共通道电梯发生困人故障，接到报警后，96111在应急处置过程中，发现电梯维保单位未把该电梯信息报送至平台，导致平台系统中没有该电梯信息，延误了救援时间，监管部门对该维保单位进行了约谈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96111温馨提醒：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原柳州市质量技术监督局办公室印发的《关于加强电梯信息报送的通知》（柳质监办发〔2018〕66号）要求，当电梯维保单位新增维保电梯时，应在24小时内以报表形式报送至柳州市电梯应急处置服务平台。该事件暴露出部分维保单位在配合平台开展电梯应急救援处置工作上不够主动，没有落实专人负责平台工作，各维保单位应深刻吸取教训，严格按照相关文件要求落实工作职责，防止此类事件的再次发生。</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政府信息公开选项</w:t>
      </w:r>
      <w:r>
        <w:rPr>
          <w:rFonts w:hint="eastAsia" w:ascii="仿宋_GB2312" w:hAnsi="仿宋_GB2312" w:eastAsia="仿宋_GB2312" w:cs="仿宋_GB2312"/>
          <w:sz w:val="28"/>
          <w:szCs w:val="28"/>
          <w:lang w:val="en-US" w:eastAsia="zh-CN"/>
        </w:rPr>
        <w:t>：主动公开</w:t>
      </w:r>
    </w:p>
    <w:p>
      <w:pPr>
        <w:pBdr>
          <w:top w:val="single" w:color="auto" w:sz="12" w:space="1"/>
        </w:pBdr>
        <w:spacing w:line="520" w:lineRule="exact"/>
        <w:ind w:firstLine="288" w:firstLineChars="100"/>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lang w:eastAsia="zh-CN"/>
        </w:rPr>
        <w:t>主</w:t>
      </w:r>
      <w:r>
        <w:rPr>
          <w:rFonts w:hint="eastAsia" w:ascii="仿宋_GB2312" w:hAnsi="仿宋_GB2312" w:eastAsia="仿宋_GB2312" w:cs="仿宋_GB2312"/>
          <w:spacing w:val="4"/>
          <w:sz w:val="28"/>
          <w:szCs w:val="28"/>
        </w:rPr>
        <w:t>送：</w:t>
      </w:r>
      <w:r>
        <w:rPr>
          <w:rFonts w:hint="eastAsia" w:ascii="仿宋_GB2312" w:hAnsi="仿宋_GB2312" w:eastAsia="仿宋_GB2312" w:cs="仿宋_GB2312"/>
          <w:spacing w:val="4"/>
          <w:sz w:val="28"/>
          <w:szCs w:val="28"/>
          <w:lang w:eastAsia="zh-CN"/>
        </w:rPr>
        <w:t>各县区市场监管局</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eastAsia="zh-CN"/>
        </w:rPr>
        <w:t>局机关相关科室</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eastAsia="zh-CN"/>
        </w:rPr>
        <w:t>直属单位、派出机构</w:t>
      </w:r>
      <w:r>
        <w:rPr>
          <w:rFonts w:hint="eastAsia" w:ascii="仿宋_GB2312" w:hAnsi="仿宋_GB2312" w:eastAsia="仿宋_GB2312" w:cs="仿宋_GB2312"/>
          <w:spacing w:val="4"/>
          <w:sz w:val="28"/>
          <w:szCs w:val="28"/>
        </w:rPr>
        <w:t>。</w:t>
      </w:r>
    </w:p>
    <w:p>
      <w:pPr>
        <w:pBdr>
          <w:top w:val="single" w:color="auto" w:sz="12" w:space="1"/>
        </w:pBdr>
        <w:spacing w:line="520" w:lineRule="exact"/>
        <w:ind w:firstLine="288" w:firstLineChars="100"/>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抄送：自治区市场监管局、市局局领导。</w:t>
      </w:r>
    </w:p>
    <w:p>
      <w:pPr>
        <w:pBdr>
          <w:top w:val="single" w:color="auto" w:sz="8" w:space="1"/>
          <w:bottom w:val="single" w:color="auto" w:sz="12" w:space="1"/>
        </w:pBdr>
        <w:spacing w:line="520" w:lineRule="exact"/>
        <w:ind w:firstLine="296"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8"/>
          <w:sz w:val="28"/>
          <w:szCs w:val="28"/>
          <w:lang w:eastAsia="zh-CN"/>
        </w:rPr>
        <w:t>柳州市市场监督管理局办公室</w:t>
      </w:r>
      <w:r>
        <w:rPr>
          <w:rFonts w:hint="eastAsia" w:ascii="仿宋_GB2312" w:hAnsi="仿宋_GB2312" w:eastAsia="仿宋_GB2312" w:cs="仿宋_GB2312"/>
          <w:spacing w:val="8"/>
          <w:sz w:val="28"/>
          <w:szCs w:val="28"/>
        </w:rPr>
        <w:t xml:space="preserve">       20</w:t>
      </w:r>
      <w:r>
        <w:rPr>
          <w:rFonts w:hint="eastAsia" w:ascii="仿宋_GB2312" w:hAnsi="仿宋_GB2312" w:eastAsia="仿宋_GB2312" w:cs="仿宋_GB2312"/>
          <w:spacing w:val="8"/>
          <w:sz w:val="28"/>
          <w:szCs w:val="28"/>
          <w:lang w:val="en-US" w:eastAsia="zh-CN"/>
        </w:rPr>
        <w:t>22</w:t>
      </w:r>
      <w:r>
        <w:rPr>
          <w:rFonts w:hint="eastAsia" w:ascii="仿宋_GB2312" w:hAnsi="仿宋_GB2312" w:eastAsia="仿宋_GB2312" w:cs="仿宋_GB2312"/>
          <w:spacing w:val="8"/>
          <w:sz w:val="28"/>
          <w:szCs w:val="28"/>
        </w:rPr>
        <w:t>年</w:t>
      </w:r>
      <w:r>
        <w:rPr>
          <w:rFonts w:hint="eastAsia" w:ascii="仿宋_GB2312" w:hAnsi="仿宋_GB2312" w:eastAsia="仿宋_GB2312" w:cs="仿宋_GB2312"/>
          <w:spacing w:val="8"/>
          <w:sz w:val="28"/>
          <w:szCs w:val="28"/>
          <w:lang w:val="en-US" w:eastAsia="zh-CN"/>
        </w:rPr>
        <w:t>1</w:t>
      </w:r>
      <w:r>
        <w:rPr>
          <w:rFonts w:hint="eastAsia" w:ascii="仿宋_GB2312" w:hAnsi="仿宋_GB2312" w:eastAsia="仿宋_GB2312" w:cs="仿宋_GB2312"/>
          <w:spacing w:val="8"/>
          <w:sz w:val="28"/>
          <w:szCs w:val="28"/>
        </w:rPr>
        <w:t>月</w:t>
      </w:r>
      <w:r>
        <w:rPr>
          <w:rFonts w:hint="eastAsia" w:ascii="仿宋_GB2312" w:hAnsi="仿宋_GB2312" w:eastAsia="仿宋_GB2312" w:cs="仿宋_GB2312"/>
          <w:spacing w:val="8"/>
          <w:sz w:val="28"/>
          <w:szCs w:val="28"/>
          <w:lang w:val="en-US" w:eastAsia="zh-CN"/>
        </w:rPr>
        <w:t>6</w:t>
      </w:r>
      <w:r>
        <w:rPr>
          <w:rFonts w:hint="eastAsia" w:ascii="仿宋_GB2312" w:hAnsi="仿宋_GB2312" w:eastAsia="仿宋_GB2312" w:cs="仿宋_GB2312"/>
          <w:spacing w:val="8"/>
          <w:sz w:val="28"/>
          <w:szCs w:val="28"/>
        </w:rPr>
        <w:t>日印发</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长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41E4A"/>
    <w:rsid w:val="033C1405"/>
    <w:rsid w:val="036739C6"/>
    <w:rsid w:val="037045F4"/>
    <w:rsid w:val="038B4055"/>
    <w:rsid w:val="03C84D75"/>
    <w:rsid w:val="04CA5E3F"/>
    <w:rsid w:val="04D52892"/>
    <w:rsid w:val="04F44545"/>
    <w:rsid w:val="05533BD5"/>
    <w:rsid w:val="05710A9E"/>
    <w:rsid w:val="0636379B"/>
    <w:rsid w:val="074647E7"/>
    <w:rsid w:val="07B91D8F"/>
    <w:rsid w:val="07E16A31"/>
    <w:rsid w:val="08002772"/>
    <w:rsid w:val="0807506E"/>
    <w:rsid w:val="08241609"/>
    <w:rsid w:val="090837F2"/>
    <w:rsid w:val="0B7B6D72"/>
    <w:rsid w:val="0BF078E5"/>
    <w:rsid w:val="0BFF6288"/>
    <w:rsid w:val="0CE42FD3"/>
    <w:rsid w:val="0D45682C"/>
    <w:rsid w:val="0EFE16AF"/>
    <w:rsid w:val="0F14181B"/>
    <w:rsid w:val="0F450BA3"/>
    <w:rsid w:val="0F6A3F5C"/>
    <w:rsid w:val="10110526"/>
    <w:rsid w:val="10295CD2"/>
    <w:rsid w:val="105A1FB2"/>
    <w:rsid w:val="10E06904"/>
    <w:rsid w:val="12074275"/>
    <w:rsid w:val="134E3AEC"/>
    <w:rsid w:val="13516945"/>
    <w:rsid w:val="139A295D"/>
    <w:rsid w:val="13CD2C05"/>
    <w:rsid w:val="140929AF"/>
    <w:rsid w:val="1455239E"/>
    <w:rsid w:val="1495629B"/>
    <w:rsid w:val="14F50584"/>
    <w:rsid w:val="15325536"/>
    <w:rsid w:val="15330D5E"/>
    <w:rsid w:val="1573693C"/>
    <w:rsid w:val="15BE4052"/>
    <w:rsid w:val="15EA59E4"/>
    <w:rsid w:val="168575AA"/>
    <w:rsid w:val="16E4652C"/>
    <w:rsid w:val="17516E01"/>
    <w:rsid w:val="184930E6"/>
    <w:rsid w:val="189C6E67"/>
    <w:rsid w:val="19140268"/>
    <w:rsid w:val="19225CDD"/>
    <w:rsid w:val="1A145623"/>
    <w:rsid w:val="1B274D09"/>
    <w:rsid w:val="1B8908B5"/>
    <w:rsid w:val="1B900446"/>
    <w:rsid w:val="1BB35F32"/>
    <w:rsid w:val="1C4568A3"/>
    <w:rsid w:val="1CAC4B7E"/>
    <w:rsid w:val="1D8A6F5D"/>
    <w:rsid w:val="1DB57738"/>
    <w:rsid w:val="1DBF3518"/>
    <w:rsid w:val="1DC62B42"/>
    <w:rsid w:val="1EB403BA"/>
    <w:rsid w:val="1F5F5B45"/>
    <w:rsid w:val="202E1AF1"/>
    <w:rsid w:val="20AA706B"/>
    <w:rsid w:val="21E82B79"/>
    <w:rsid w:val="220E54D9"/>
    <w:rsid w:val="22127714"/>
    <w:rsid w:val="225F7968"/>
    <w:rsid w:val="22D9177B"/>
    <w:rsid w:val="250C794D"/>
    <w:rsid w:val="252E1612"/>
    <w:rsid w:val="25535367"/>
    <w:rsid w:val="25F519F7"/>
    <w:rsid w:val="25F84199"/>
    <w:rsid w:val="261E1B12"/>
    <w:rsid w:val="27065F5A"/>
    <w:rsid w:val="27E22CD9"/>
    <w:rsid w:val="27ED4B48"/>
    <w:rsid w:val="282C1C44"/>
    <w:rsid w:val="283164F0"/>
    <w:rsid w:val="28B21919"/>
    <w:rsid w:val="291053B7"/>
    <w:rsid w:val="2A62058D"/>
    <w:rsid w:val="2ABD014F"/>
    <w:rsid w:val="2B337E5B"/>
    <w:rsid w:val="2B59309B"/>
    <w:rsid w:val="2B890A1B"/>
    <w:rsid w:val="2B8A0C3F"/>
    <w:rsid w:val="2C094377"/>
    <w:rsid w:val="2C2E1EEB"/>
    <w:rsid w:val="2C47493E"/>
    <w:rsid w:val="2C4E4E27"/>
    <w:rsid w:val="2CAF0EEA"/>
    <w:rsid w:val="2CE16F90"/>
    <w:rsid w:val="2CFD52CF"/>
    <w:rsid w:val="2D2D7510"/>
    <w:rsid w:val="2D406FA7"/>
    <w:rsid w:val="2EFE1A7A"/>
    <w:rsid w:val="2F105882"/>
    <w:rsid w:val="2F212DAD"/>
    <w:rsid w:val="2F7A1BF7"/>
    <w:rsid w:val="30023055"/>
    <w:rsid w:val="30446FDC"/>
    <w:rsid w:val="31340F39"/>
    <w:rsid w:val="31546CE5"/>
    <w:rsid w:val="320439CA"/>
    <w:rsid w:val="3212711B"/>
    <w:rsid w:val="321857E3"/>
    <w:rsid w:val="32256D58"/>
    <w:rsid w:val="32590E66"/>
    <w:rsid w:val="344552DD"/>
    <w:rsid w:val="345937DD"/>
    <w:rsid w:val="34603F40"/>
    <w:rsid w:val="3479299F"/>
    <w:rsid w:val="3507222F"/>
    <w:rsid w:val="351A0121"/>
    <w:rsid w:val="359E7164"/>
    <w:rsid w:val="35D97959"/>
    <w:rsid w:val="360A437F"/>
    <w:rsid w:val="36CA3673"/>
    <w:rsid w:val="37162896"/>
    <w:rsid w:val="37691C95"/>
    <w:rsid w:val="37D64EB3"/>
    <w:rsid w:val="37F50553"/>
    <w:rsid w:val="382636FB"/>
    <w:rsid w:val="38907BA7"/>
    <w:rsid w:val="38E06EED"/>
    <w:rsid w:val="396C1B48"/>
    <w:rsid w:val="39883D74"/>
    <w:rsid w:val="39D433F7"/>
    <w:rsid w:val="39E776A9"/>
    <w:rsid w:val="39F83C4E"/>
    <w:rsid w:val="3A103835"/>
    <w:rsid w:val="3A1B1ACF"/>
    <w:rsid w:val="3A593DBD"/>
    <w:rsid w:val="3B091497"/>
    <w:rsid w:val="3B543C55"/>
    <w:rsid w:val="3BBA202E"/>
    <w:rsid w:val="3DF532EA"/>
    <w:rsid w:val="3F9359EE"/>
    <w:rsid w:val="415F7B1F"/>
    <w:rsid w:val="426042E3"/>
    <w:rsid w:val="42875E56"/>
    <w:rsid w:val="42EA61E1"/>
    <w:rsid w:val="42F63D5A"/>
    <w:rsid w:val="440E2382"/>
    <w:rsid w:val="44A07FFE"/>
    <w:rsid w:val="450C257C"/>
    <w:rsid w:val="45A57974"/>
    <w:rsid w:val="45AB7E57"/>
    <w:rsid w:val="45D415A8"/>
    <w:rsid w:val="46243565"/>
    <w:rsid w:val="465C6D2D"/>
    <w:rsid w:val="46790F18"/>
    <w:rsid w:val="46C023E9"/>
    <w:rsid w:val="47CD0A5B"/>
    <w:rsid w:val="48100143"/>
    <w:rsid w:val="48117FDF"/>
    <w:rsid w:val="499337F7"/>
    <w:rsid w:val="4A71242A"/>
    <w:rsid w:val="4AE70F15"/>
    <w:rsid w:val="4C194AC2"/>
    <w:rsid w:val="4C430BB8"/>
    <w:rsid w:val="4CA9271F"/>
    <w:rsid w:val="4D490DF1"/>
    <w:rsid w:val="4D7E3C72"/>
    <w:rsid w:val="4DC77271"/>
    <w:rsid w:val="4DF47921"/>
    <w:rsid w:val="4E2F46F8"/>
    <w:rsid w:val="4E495FB2"/>
    <w:rsid w:val="4E5337C1"/>
    <w:rsid w:val="4E604FB7"/>
    <w:rsid w:val="4E8C5E24"/>
    <w:rsid w:val="4F235538"/>
    <w:rsid w:val="4F3A08BA"/>
    <w:rsid w:val="4F6543F8"/>
    <w:rsid w:val="4F6E092A"/>
    <w:rsid w:val="4FF17B0F"/>
    <w:rsid w:val="500C5FD1"/>
    <w:rsid w:val="500D438B"/>
    <w:rsid w:val="5014332A"/>
    <w:rsid w:val="504919EE"/>
    <w:rsid w:val="510B68C3"/>
    <w:rsid w:val="51DA6FBE"/>
    <w:rsid w:val="532C717C"/>
    <w:rsid w:val="53F578DC"/>
    <w:rsid w:val="543A53D3"/>
    <w:rsid w:val="54CE2D69"/>
    <w:rsid w:val="54E44363"/>
    <w:rsid w:val="54F26DDD"/>
    <w:rsid w:val="561F1B76"/>
    <w:rsid w:val="56835F7A"/>
    <w:rsid w:val="56E80994"/>
    <w:rsid w:val="575A2D38"/>
    <w:rsid w:val="58640CB4"/>
    <w:rsid w:val="58B21E18"/>
    <w:rsid w:val="595B1587"/>
    <w:rsid w:val="5A2144A4"/>
    <w:rsid w:val="5A382D37"/>
    <w:rsid w:val="5A3E12B1"/>
    <w:rsid w:val="5A5E1608"/>
    <w:rsid w:val="5A7071CF"/>
    <w:rsid w:val="5AC44C28"/>
    <w:rsid w:val="5B1477E9"/>
    <w:rsid w:val="5B6F48EC"/>
    <w:rsid w:val="5B8828F0"/>
    <w:rsid w:val="5B97189E"/>
    <w:rsid w:val="5C4F75BD"/>
    <w:rsid w:val="5EB97719"/>
    <w:rsid w:val="5EDB1745"/>
    <w:rsid w:val="5F183BB1"/>
    <w:rsid w:val="5FB3483D"/>
    <w:rsid w:val="600B1E0D"/>
    <w:rsid w:val="603416D7"/>
    <w:rsid w:val="609111DD"/>
    <w:rsid w:val="60AE7A0E"/>
    <w:rsid w:val="60B55D19"/>
    <w:rsid w:val="60B94EB9"/>
    <w:rsid w:val="60E158B2"/>
    <w:rsid w:val="6145546C"/>
    <w:rsid w:val="6232592A"/>
    <w:rsid w:val="62892B92"/>
    <w:rsid w:val="628B77B0"/>
    <w:rsid w:val="62EE0DC8"/>
    <w:rsid w:val="6326345C"/>
    <w:rsid w:val="63B738A7"/>
    <w:rsid w:val="64AF4728"/>
    <w:rsid w:val="64D46CC5"/>
    <w:rsid w:val="650A5732"/>
    <w:rsid w:val="650A6423"/>
    <w:rsid w:val="651C23DB"/>
    <w:rsid w:val="65C652B4"/>
    <w:rsid w:val="661F054A"/>
    <w:rsid w:val="66A20696"/>
    <w:rsid w:val="67DA22D9"/>
    <w:rsid w:val="6AAE6C63"/>
    <w:rsid w:val="6ADF3F16"/>
    <w:rsid w:val="6B665ADD"/>
    <w:rsid w:val="6B8E3803"/>
    <w:rsid w:val="6C257DC9"/>
    <w:rsid w:val="6C3A486E"/>
    <w:rsid w:val="6D9B4673"/>
    <w:rsid w:val="6E2A2144"/>
    <w:rsid w:val="6E4C0CC5"/>
    <w:rsid w:val="6E8F3964"/>
    <w:rsid w:val="6EE768B4"/>
    <w:rsid w:val="6EFE40B5"/>
    <w:rsid w:val="70364172"/>
    <w:rsid w:val="7060186C"/>
    <w:rsid w:val="71326485"/>
    <w:rsid w:val="725D411F"/>
    <w:rsid w:val="728434FD"/>
    <w:rsid w:val="73305006"/>
    <w:rsid w:val="74421C61"/>
    <w:rsid w:val="748054EB"/>
    <w:rsid w:val="74B81EDD"/>
    <w:rsid w:val="74D501BB"/>
    <w:rsid w:val="7527738F"/>
    <w:rsid w:val="75A07FFE"/>
    <w:rsid w:val="76037248"/>
    <w:rsid w:val="76683D28"/>
    <w:rsid w:val="7675553A"/>
    <w:rsid w:val="767A30FE"/>
    <w:rsid w:val="779E3E3D"/>
    <w:rsid w:val="785A3463"/>
    <w:rsid w:val="78D7301B"/>
    <w:rsid w:val="78DB4465"/>
    <w:rsid w:val="79043558"/>
    <w:rsid w:val="7A3D3AB6"/>
    <w:rsid w:val="7AD3797B"/>
    <w:rsid w:val="7AED41F3"/>
    <w:rsid w:val="7AFA3E76"/>
    <w:rsid w:val="7B7D6C5E"/>
    <w:rsid w:val="7BCC1975"/>
    <w:rsid w:val="7BCC2652"/>
    <w:rsid w:val="7BFF5A8C"/>
    <w:rsid w:val="7C862559"/>
    <w:rsid w:val="7C9F47EF"/>
    <w:rsid w:val="7CBC0AE3"/>
    <w:rsid w:val="7CFF2D17"/>
    <w:rsid w:val="7D6D1AA0"/>
    <w:rsid w:val="7E1D13F5"/>
    <w:rsid w:val="7E4B4FE8"/>
    <w:rsid w:val="7E6B7B3C"/>
    <w:rsid w:val="7E7A072F"/>
    <w:rsid w:val="7F2522F8"/>
    <w:rsid w:val="7F3B2990"/>
    <w:rsid w:val="7F3C3E19"/>
    <w:rsid w:val="7F680D7C"/>
    <w:rsid w:val="7FAE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style01"/>
    <w:basedOn w:val="8"/>
    <w:qFormat/>
    <w:uiPriority w:val="0"/>
    <w:rPr>
      <w:rFonts w:ascii="FZSSJW--GB1-0" w:hAnsi="FZSSJW--GB1-0" w:eastAsia="FZSSJW--GB1-0" w:cs="FZSSJW--GB1-0"/>
      <w:color w:val="000000"/>
      <w:sz w:val="24"/>
      <w:szCs w:val="24"/>
    </w:rPr>
  </w:style>
  <w:style w:type="character" w:customStyle="1" w:styleId="11">
    <w:name w:val="fontstyle11"/>
    <w:basedOn w:val="8"/>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6388</Words>
  <Characters>8874</Characters>
  <Lines>0</Lines>
  <Paragraphs>0</Paragraphs>
  <TotalTime>2</TotalTime>
  <ScaleCrop>false</ScaleCrop>
  <LinksUpToDate>false</LinksUpToDate>
  <CharactersWithSpaces>8879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2019-10-21T08:43:00Z</dcterms:created>
  <dc:creator>LZZJ_PT</dc:creator>
  <cp:lastModifiedBy>潘少做好事不留名</cp:lastModifiedBy>
  <cp:lastPrinted>2019-10-31T08:31:00Z</cp:lastPrinted>
  <dcterms:modified xsi:type="dcterms:W3CDTF">2022-02-14T02:37:56Z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F7277F95DA024F5E893396287F8B2791</vt:lpwstr>
  </property>
</Properties>
</file>