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2019年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11</w:t>
      </w:r>
      <w:r>
        <w:rPr>
          <w:rFonts w:hint="eastAsia" w:ascii="宋体" w:hAnsi="宋体"/>
          <w:b/>
          <w:sz w:val="44"/>
          <w:szCs w:val="44"/>
        </w:rPr>
        <w:t>月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11</w:t>
      </w:r>
      <w:r>
        <w:rPr>
          <w:rFonts w:hint="eastAsia" w:ascii="宋体" w:hAnsi="宋体"/>
          <w:b/>
          <w:sz w:val="44"/>
          <w:szCs w:val="44"/>
        </w:rPr>
        <w:t>日-2019年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11</w:t>
      </w:r>
      <w:r>
        <w:rPr>
          <w:rFonts w:hint="eastAsia" w:ascii="宋体" w:hAnsi="宋体"/>
          <w:b/>
          <w:sz w:val="44"/>
          <w:szCs w:val="44"/>
        </w:rPr>
        <w:t>月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17</w:t>
      </w:r>
      <w:r>
        <w:rPr>
          <w:rFonts w:hint="eastAsia" w:ascii="宋体" w:hAnsi="宋体"/>
          <w:b/>
          <w:sz w:val="44"/>
          <w:szCs w:val="44"/>
        </w:rPr>
        <w:t>日柳州市消费投诉统计分析报告</w:t>
      </w:r>
    </w:p>
    <w:p/>
    <w:p/>
    <w:p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614045</wp:posOffset>
            </wp:positionH>
            <wp:positionV relativeFrom="page">
              <wp:posOffset>2140585</wp:posOffset>
            </wp:positionV>
            <wp:extent cx="4088765" cy="2677795"/>
            <wp:effectExtent l="4445" t="4445" r="21590" b="22860"/>
            <wp:wrapTopAndBottom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2019年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日-2019年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>日，柳州市市场监督管理局12315消费者投诉举报指挥中心依法受理消费者投诉、举报、咨询共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625</w:t>
      </w:r>
      <w:r>
        <w:rPr>
          <w:rFonts w:hint="eastAsia" w:ascii="仿宋" w:hAnsi="仿宋" w:eastAsia="仿宋"/>
          <w:sz w:val="32"/>
          <w:szCs w:val="32"/>
        </w:rPr>
        <w:t>件，其中投诉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104</w:t>
      </w:r>
      <w:r>
        <w:rPr>
          <w:rFonts w:hint="eastAsia" w:ascii="仿宋" w:hAnsi="仿宋" w:eastAsia="仿宋"/>
          <w:sz w:val="32"/>
          <w:szCs w:val="32"/>
        </w:rPr>
        <w:t>件，举报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78</w:t>
      </w:r>
      <w:r>
        <w:rPr>
          <w:rFonts w:hint="eastAsia" w:ascii="仿宋" w:hAnsi="仿宋" w:eastAsia="仿宋"/>
          <w:sz w:val="32"/>
          <w:szCs w:val="32"/>
        </w:rPr>
        <w:t>件，咨询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443</w:t>
      </w:r>
      <w:r>
        <w:rPr>
          <w:rFonts w:hint="eastAsia" w:ascii="仿宋" w:hAnsi="仿宋" w:eastAsia="仿宋"/>
          <w:sz w:val="32"/>
          <w:szCs w:val="32"/>
        </w:rPr>
        <w:t>件。问题涉及</w:t>
      </w:r>
      <w:r>
        <w:rPr>
          <w:rFonts w:hint="eastAsia" w:ascii="仿宋" w:hAnsi="仿宋" w:eastAsia="仿宋"/>
          <w:sz w:val="32"/>
          <w:szCs w:val="32"/>
          <w:lang w:eastAsia="zh-CN"/>
        </w:rPr>
        <w:t>三大运营商话费和宽带业务纠纷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家居用品质量和售后服务纠纷，房屋装修服务合同和售后纠纷及家用汽车产品合同和售后服务纠纷</w:t>
      </w:r>
      <w:r>
        <w:rPr>
          <w:rFonts w:hint="eastAsia" w:ascii="仿宋" w:hAnsi="仿宋" w:eastAsia="仿宋"/>
          <w:sz w:val="32"/>
          <w:szCs w:val="32"/>
        </w:rPr>
        <w:t>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auV7vieRN6tT00GVA4ksRyflXQ8=" w:salt="L2LdWCsMkuZMG8UDdqLgg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82A24"/>
    <w:rsid w:val="00612F3B"/>
    <w:rsid w:val="014B1324"/>
    <w:rsid w:val="03DC2CC4"/>
    <w:rsid w:val="07910C99"/>
    <w:rsid w:val="0DAC7A82"/>
    <w:rsid w:val="10221FF6"/>
    <w:rsid w:val="10D56096"/>
    <w:rsid w:val="12582A24"/>
    <w:rsid w:val="13471D69"/>
    <w:rsid w:val="15F5071D"/>
    <w:rsid w:val="1BA13CA6"/>
    <w:rsid w:val="1C4552CE"/>
    <w:rsid w:val="22254DAA"/>
    <w:rsid w:val="246F3FED"/>
    <w:rsid w:val="25B14E9C"/>
    <w:rsid w:val="299000D8"/>
    <w:rsid w:val="3C2F7AE9"/>
    <w:rsid w:val="535A1478"/>
    <w:rsid w:val="5F1255D7"/>
    <w:rsid w:val="6410015F"/>
    <w:rsid w:val="648D46E5"/>
    <w:rsid w:val="68B92BC7"/>
    <w:rsid w:val="6A397E94"/>
    <w:rsid w:val="6E3A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200"/>
              <a:t>2019年</a:t>
            </a:r>
            <a:r>
              <a:rPr lang="en-US" altLang="zh-CN" sz="1200"/>
              <a:t>11</a:t>
            </a:r>
            <a:r>
              <a:rPr sz="1200"/>
              <a:t>月</a:t>
            </a:r>
            <a:r>
              <a:rPr lang="en-US" altLang="zh-CN" sz="1200"/>
              <a:t>11</a:t>
            </a:r>
            <a:r>
              <a:rPr sz="1200"/>
              <a:t>日-2019年</a:t>
            </a:r>
            <a:r>
              <a:rPr lang="en-US" altLang="zh-CN" sz="1200"/>
              <a:t>11</a:t>
            </a:r>
            <a:r>
              <a:rPr sz="1200"/>
              <a:t>月</a:t>
            </a:r>
            <a:r>
              <a:rPr lang="en-US" altLang="zh-CN" sz="1200"/>
              <a:t>17</a:t>
            </a:r>
            <a:r>
              <a:rPr sz="1200"/>
              <a:t>日柳州市消费投诉统计分析数据</a:t>
            </a:r>
            <a:endParaRPr sz="1200"/>
          </a:p>
        </c:rich>
      </c:tx>
      <c:layout/>
      <c:overlay val="0"/>
      <c:spPr>
        <a:solidFill>
          <a:schemeClr val="accent4">
            <a:lumMod val="20000"/>
            <a:lumOff val="80000"/>
          </a:schemeClr>
        </a:solidFill>
        <a:ln>
          <a:solidFill>
            <a:schemeClr val="accent1"/>
          </a:solidFill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59760832427396"/>
          <c:y val="0.241878112402182"/>
          <c:w val="0.882186674949526"/>
          <c:h val="0.6474745079440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总量</c:v>
                </c:pt>
                <c:pt idx="1">
                  <c:v>投诉</c:v>
                </c:pt>
                <c:pt idx="2">
                  <c:v>举报</c:v>
                </c:pt>
                <c:pt idx="3">
                  <c:v>咨询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625</c:v>
                </c:pt>
                <c:pt idx="1">
                  <c:v>104</c:v>
                </c:pt>
                <c:pt idx="2">
                  <c:v>78</c:v>
                </c:pt>
                <c:pt idx="3">
                  <c:v>443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34191638"/>
        <c:axId val="268039792"/>
      </c:barChart>
      <c:catAx>
        <c:axId val="33419163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8039792"/>
        <c:crosses val="autoZero"/>
        <c:auto val="1"/>
        <c:lblAlgn val="ctr"/>
        <c:lblOffset val="100"/>
        <c:noMultiLvlLbl val="0"/>
      </c:catAx>
      <c:valAx>
        <c:axId val="268039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3419163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6">
        <a:lumMod val="40000"/>
        <a:lumOff val="60000"/>
      </a:schemeClr>
    </a:solidFill>
    <a:ln w="9525" cap="flat" cmpd="sng" algn="ctr">
      <a:solidFill>
        <a:schemeClr val="accent6">
          <a:lumMod val="7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2019-08-16T01:08:00Z</dcterms:created>
  <dc:creator>gsj1000</dc:creator>
  <cp:lastModifiedBy>pc</cp:lastModifiedBy>
  <dcterms:modified xsi:type="dcterms:W3CDTF">2019-11-19T09:34:20Z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