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72B38">
      <w:pPr>
        <w:pStyle w:val="4"/>
        <w:keepNext w:val="0"/>
        <w:keepLines w:val="0"/>
        <w:pageBreakBefore w:val="0"/>
        <w:widowControl/>
        <w:kinsoku/>
        <w:wordWrap/>
        <w:overflowPunct/>
        <w:topLinePunct w:val="0"/>
        <w:autoSpaceDE/>
        <w:autoSpaceDN/>
        <w:bidi w:val="0"/>
        <w:spacing w:beforeLines="0" w:beforeAutospacing="0" w:after="0" w:afterLines="0" w:afterAutospacing="0" w:line="540" w:lineRule="exact"/>
        <w:ind w:left="0" w:leftChars="0" w:right="0" w:rightChars="0" w:firstLine="0"/>
        <w:jc w:val="center"/>
        <w:textAlignment w:val="auto"/>
        <w:rPr>
          <w:rFonts w:hint="eastAsia" w:ascii="宋体" w:hAnsi="宋体" w:eastAsia="宋体" w:cs="宋体"/>
          <w:b/>
          <w:bCs w:val="0"/>
          <w:i w:val="0"/>
          <w:caps w:val="0"/>
          <w:color w:val="auto"/>
          <w:spacing w:val="0"/>
          <w:sz w:val="44"/>
          <w:szCs w:val="44"/>
          <w:u w:val="none"/>
          <w:lang w:val="en-US" w:eastAsia="zh-CN"/>
        </w:rPr>
      </w:pPr>
      <w:r>
        <w:rPr>
          <w:rFonts w:hint="eastAsia" w:ascii="宋体" w:hAnsi="宋体" w:eastAsia="宋体" w:cs="宋体"/>
          <w:b/>
          <w:bCs w:val="0"/>
          <w:i w:val="0"/>
          <w:caps w:val="0"/>
          <w:color w:val="auto"/>
          <w:spacing w:val="0"/>
          <w:sz w:val="44"/>
          <w:szCs w:val="44"/>
          <w:u w:val="none"/>
        </w:rPr>
        <w:t>柳州市市场监</w:t>
      </w:r>
      <w:r>
        <w:rPr>
          <w:rFonts w:hint="eastAsia" w:ascii="宋体" w:hAnsi="宋体" w:eastAsia="宋体" w:cs="宋体"/>
          <w:b/>
          <w:bCs w:val="0"/>
          <w:i w:val="0"/>
          <w:caps w:val="0"/>
          <w:color w:val="auto"/>
          <w:spacing w:val="0"/>
          <w:sz w:val="44"/>
          <w:szCs w:val="44"/>
          <w:u w:val="none"/>
          <w:lang w:eastAsia="zh-CN"/>
        </w:rPr>
        <w:t>督</w:t>
      </w:r>
      <w:r>
        <w:rPr>
          <w:rFonts w:hint="eastAsia" w:ascii="宋体" w:hAnsi="宋体" w:eastAsia="宋体" w:cs="宋体"/>
          <w:b/>
          <w:bCs w:val="0"/>
          <w:i w:val="0"/>
          <w:caps w:val="0"/>
          <w:color w:val="auto"/>
          <w:spacing w:val="0"/>
          <w:sz w:val="44"/>
          <w:szCs w:val="44"/>
          <w:u w:val="none"/>
        </w:rPr>
        <w:t>管</w:t>
      </w:r>
      <w:r>
        <w:rPr>
          <w:rFonts w:hint="eastAsia" w:ascii="宋体" w:hAnsi="宋体" w:eastAsia="宋体" w:cs="宋体"/>
          <w:b/>
          <w:bCs w:val="0"/>
          <w:i w:val="0"/>
          <w:caps w:val="0"/>
          <w:color w:val="auto"/>
          <w:spacing w:val="0"/>
          <w:sz w:val="44"/>
          <w:szCs w:val="44"/>
          <w:u w:val="none"/>
          <w:lang w:eastAsia="zh-CN"/>
        </w:rPr>
        <w:t>理</w:t>
      </w:r>
      <w:r>
        <w:rPr>
          <w:rFonts w:hint="eastAsia" w:ascii="宋体" w:hAnsi="宋体" w:eastAsia="宋体" w:cs="宋体"/>
          <w:b/>
          <w:bCs w:val="0"/>
          <w:i w:val="0"/>
          <w:caps w:val="0"/>
          <w:color w:val="auto"/>
          <w:spacing w:val="0"/>
          <w:sz w:val="44"/>
          <w:szCs w:val="44"/>
          <w:u w:val="none"/>
        </w:rPr>
        <w:t>局</w:t>
      </w:r>
      <w:r>
        <w:rPr>
          <w:rFonts w:hint="eastAsia" w:ascii="宋体" w:hAnsi="宋体" w:cs="宋体"/>
          <w:b/>
          <w:bCs w:val="0"/>
          <w:i w:val="0"/>
          <w:caps w:val="0"/>
          <w:color w:val="auto"/>
          <w:spacing w:val="0"/>
          <w:sz w:val="44"/>
          <w:szCs w:val="44"/>
          <w:u w:val="none"/>
          <w:lang w:val="en-US" w:eastAsia="zh-CN"/>
        </w:rPr>
        <w:t>“十三五”规划</w:t>
      </w:r>
      <w:r>
        <w:rPr>
          <w:rFonts w:hint="eastAsia" w:ascii="宋体" w:hAnsi="宋体" w:eastAsia="宋体" w:cs="宋体"/>
          <w:b/>
          <w:bCs w:val="0"/>
          <w:i w:val="0"/>
          <w:caps w:val="0"/>
          <w:color w:val="auto"/>
          <w:spacing w:val="0"/>
          <w:sz w:val="44"/>
          <w:szCs w:val="44"/>
          <w:u w:val="none"/>
          <w:lang w:val="en-US" w:eastAsia="zh-CN"/>
        </w:rPr>
        <w:t>执行</w:t>
      </w:r>
    </w:p>
    <w:p w14:paraId="451FE0EB">
      <w:pPr>
        <w:pStyle w:val="4"/>
        <w:keepNext w:val="0"/>
        <w:keepLines w:val="0"/>
        <w:pageBreakBefore w:val="0"/>
        <w:widowControl/>
        <w:kinsoku/>
        <w:wordWrap/>
        <w:overflowPunct/>
        <w:topLinePunct w:val="0"/>
        <w:autoSpaceDE/>
        <w:autoSpaceDN/>
        <w:bidi w:val="0"/>
        <w:spacing w:beforeLines="0" w:beforeAutospacing="0" w:after="0" w:afterLines="0" w:afterAutospacing="0" w:line="540" w:lineRule="exact"/>
        <w:ind w:left="0" w:leftChars="0" w:right="0" w:rightChars="0" w:firstLine="0"/>
        <w:jc w:val="center"/>
        <w:textAlignment w:val="auto"/>
        <w:rPr>
          <w:rFonts w:hint="eastAsia" w:ascii="宋体" w:hAnsi="宋体" w:eastAsia="宋体" w:cs="宋体"/>
          <w:b/>
          <w:bCs w:val="0"/>
          <w:i w:val="0"/>
          <w:caps w:val="0"/>
          <w:color w:val="auto"/>
          <w:spacing w:val="0"/>
          <w:sz w:val="44"/>
          <w:szCs w:val="44"/>
          <w:u w:val="none"/>
          <w:lang w:val="en-US" w:eastAsia="zh-CN"/>
        </w:rPr>
      </w:pPr>
      <w:r>
        <w:rPr>
          <w:rFonts w:hint="eastAsia" w:ascii="宋体" w:hAnsi="宋体" w:eastAsia="宋体" w:cs="宋体"/>
          <w:b/>
          <w:bCs w:val="0"/>
          <w:i w:val="0"/>
          <w:caps w:val="0"/>
          <w:color w:val="auto"/>
          <w:spacing w:val="0"/>
          <w:sz w:val="44"/>
          <w:szCs w:val="44"/>
          <w:u w:val="none"/>
          <w:lang w:val="en-US" w:eastAsia="zh-CN"/>
        </w:rPr>
        <w:t>情况报告</w:t>
      </w:r>
    </w:p>
    <w:p w14:paraId="5D44B4DB">
      <w:pPr>
        <w:pStyle w:val="2"/>
        <w:pageBreakBefore w:val="0"/>
        <w:widowControl w:val="0"/>
        <w:kinsoku/>
        <w:wordWrap/>
        <w:overflowPunct/>
        <w:topLinePunct w:val="0"/>
        <w:autoSpaceDE/>
        <w:autoSpaceDN/>
        <w:bidi w:val="0"/>
        <w:spacing w:before="0" w:after="0" w:line="540" w:lineRule="exact"/>
        <w:ind w:left="0" w:leftChars="0" w:right="0" w:rightChars="0" w:firstLine="642"/>
        <w:jc w:val="both"/>
        <w:textAlignment w:val="auto"/>
        <w:rPr>
          <w:rFonts w:hint="eastAsia" w:ascii="仿宋" w:hAnsi="仿宋" w:eastAsia="仿宋" w:cs="仿宋"/>
          <w:b w:val="0"/>
          <w:bCs w:val="0"/>
          <w:color w:val="auto"/>
          <w:spacing w:val="0"/>
          <w:kern w:val="0"/>
          <w:sz w:val="32"/>
          <w:szCs w:val="32"/>
        </w:rPr>
      </w:pPr>
    </w:p>
    <w:p w14:paraId="2F2CC2C8">
      <w:pPr>
        <w:pageBreakBefore w:val="0"/>
        <w:kinsoku/>
        <w:wordWrap/>
        <w:overflowPunct/>
        <w:topLinePunct w:val="0"/>
        <w:autoSpaceDE/>
        <w:autoSpaceDN/>
        <w:bidi w:val="0"/>
        <w:spacing w:line="54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b w:val="0"/>
          <w:bCs w:val="0"/>
          <w:color w:val="auto"/>
          <w:spacing w:val="0"/>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“十三五”时期（2016-2020年）是我市全面落实“四个全面”战略布局，实现“经济升</w:t>
      </w:r>
      <w:bookmarkStart w:id="0" w:name="_GoBack"/>
      <w:bookmarkEnd w:id="0"/>
      <w:r>
        <w:rPr>
          <w:rFonts w:hint="eastAsia" w:ascii="仿宋" w:hAnsi="仿宋" w:eastAsia="仿宋" w:cs="仿宋"/>
          <w:color w:val="auto"/>
          <w:sz w:val="32"/>
          <w:szCs w:val="32"/>
        </w:rPr>
        <w:t>级、城市转型”新跨越的攻坚时期，是深化改革开放、加快转变经济发展方式的攻坚时期，也是</w:t>
      </w:r>
      <w:r>
        <w:rPr>
          <w:rFonts w:hint="eastAsia" w:ascii="仿宋" w:hAnsi="仿宋" w:eastAsia="仿宋" w:cs="仿宋"/>
          <w:color w:val="auto"/>
          <w:sz w:val="32"/>
          <w:szCs w:val="32"/>
          <w:lang w:eastAsia="zh-CN"/>
        </w:rPr>
        <w:t>柳州市市场监管局成立的</w:t>
      </w:r>
      <w:r>
        <w:rPr>
          <w:rFonts w:hint="eastAsia" w:ascii="仿宋" w:hAnsi="仿宋" w:eastAsia="仿宋" w:cs="仿宋"/>
          <w:color w:val="auto"/>
          <w:sz w:val="32"/>
          <w:szCs w:val="32"/>
        </w:rPr>
        <w:t>重要时期。按照深化市场监管体制改革要求，201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是柳州市市场监管局改革组建的第一年。</w:t>
      </w:r>
      <w:r>
        <w:rPr>
          <w:rFonts w:hint="eastAsia" w:ascii="仿宋" w:hAnsi="仿宋" w:eastAsia="仿宋" w:cs="仿宋"/>
          <w:color w:val="auto"/>
          <w:sz w:val="32"/>
          <w:szCs w:val="32"/>
          <w:lang w:val="en-US" w:eastAsia="zh-CN"/>
        </w:rPr>
        <w:t>2019年</w:t>
      </w:r>
      <w:r>
        <w:rPr>
          <w:rFonts w:hint="eastAsia" w:ascii="仿宋" w:hAnsi="仿宋" w:eastAsia="仿宋" w:cs="仿宋"/>
          <w:color w:val="auto"/>
          <w:sz w:val="32"/>
          <w:szCs w:val="32"/>
        </w:rPr>
        <w:t>2月25日，市委宣布柳州市市场监管局领导班子</w:t>
      </w:r>
      <w:r>
        <w:rPr>
          <w:rFonts w:hint="eastAsia" w:ascii="仿宋" w:hAnsi="仿宋" w:eastAsia="仿宋" w:cs="仿宋"/>
          <w:color w:val="auto"/>
          <w:sz w:val="32"/>
          <w:szCs w:val="32"/>
          <w:lang w:eastAsia="zh-CN"/>
        </w:rPr>
        <w:t>任命</w:t>
      </w:r>
      <w:r>
        <w:rPr>
          <w:rFonts w:hint="eastAsia" w:ascii="仿宋" w:hAnsi="仿宋" w:eastAsia="仿宋" w:cs="仿宋"/>
          <w:color w:val="auto"/>
          <w:sz w:val="32"/>
          <w:szCs w:val="32"/>
        </w:rPr>
        <w:t>，3月4日正式挂牌成立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在短短2个多月时间里</w:t>
      </w:r>
      <w:r>
        <w:rPr>
          <w:rFonts w:hint="eastAsia" w:ascii="仿宋" w:hAnsi="仿宋" w:eastAsia="仿宋" w:cs="仿宋"/>
          <w:color w:val="auto"/>
          <w:sz w:val="32"/>
          <w:szCs w:val="32"/>
          <w:lang w:val="en-US" w:eastAsia="zh-CN"/>
        </w:rPr>
        <w:t>实现</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lang w:val="en-US" w:eastAsia="zh-CN"/>
        </w:rPr>
        <w:t>原有柳州市工商局、柳州市质监局、柳州市食品药品监督管理局等五个部门的职能整合，完成了我市</w:t>
      </w:r>
      <w:r>
        <w:rPr>
          <w:rFonts w:hint="eastAsia" w:ascii="仿宋" w:hAnsi="仿宋" w:eastAsia="仿宋" w:cs="仿宋"/>
          <w:color w:val="auto"/>
          <w:sz w:val="32"/>
          <w:szCs w:val="32"/>
          <w:lang w:eastAsia="zh-CN"/>
        </w:rPr>
        <w:t>新</w:t>
      </w:r>
      <w:r>
        <w:rPr>
          <w:rFonts w:hint="eastAsia" w:ascii="仿宋" w:hAnsi="仿宋" w:eastAsia="仿宋" w:cs="仿宋"/>
          <w:color w:val="auto"/>
          <w:sz w:val="32"/>
          <w:szCs w:val="32"/>
          <w:lang w:val="en-US" w:eastAsia="zh-CN"/>
        </w:rPr>
        <w:t>市场监管</w:t>
      </w:r>
      <w:r>
        <w:rPr>
          <w:rFonts w:hint="eastAsia" w:ascii="仿宋" w:hAnsi="仿宋" w:eastAsia="仿宋" w:cs="仿宋"/>
          <w:color w:val="auto"/>
          <w:sz w:val="32"/>
          <w:szCs w:val="32"/>
          <w:lang w:eastAsia="zh-CN"/>
        </w:rPr>
        <w:t>部门的组建挂牌、人员转隶、集中办公、“三定”规定制定及</w:t>
      </w:r>
      <w:r>
        <w:rPr>
          <w:rFonts w:hint="eastAsia" w:ascii="仿宋" w:hAnsi="仿宋" w:eastAsia="仿宋" w:cs="仿宋"/>
          <w:color w:val="auto"/>
          <w:sz w:val="32"/>
          <w:szCs w:val="32"/>
          <w:lang w:val="en-US" w:eastAsia="zh-CN"/>
        </w:rPr>
        <w:t>科室新岗位人员任命调整</w:t>
      </w:r>
      <w:r>
        <w:rPr>
          <w:rFonts w:hint="eastAsia" w:ascii="仿宋" w:hAnsi="仿宋" w:eastAsia="仿宋" w:cs="仿宋"/>
          <w:color w:val="auto"/>
          <w:sz w:val="32"/>
          <w:szCs w:val="32"/>
          <w:lang w:eastAsia="zh-CN"/>
        </w:rPr>
        <w:t>等一系列工作，</w:t>
      </w:r>
      <w:r>
        <w:rPr>
          <w:rFonts w:hint="eastAsia" w:ascii="仿宋" w:hAnsi="仿宋" w:eastAsia="仿宋" w:cs="仿宋"/>
          <w:color w:val="auto"/>
          <w:sz w:val="32"/>
          <w:szCs w:val="32"/>
          <w:lang w:val="en-US" w:eastAsia="zh-CN"/>
        </w:rPr>
        <w:t>为实现市级市场监管分级管理体制改革奠定了坚实的基础</w:t>
      </w:r>
      <w:r>
        <w:rPr>
          <w:rFonts w:hint="eastAsia" w:ascii="仿宋" w:hAnsi="仿宋" w:eastAsia="仿宋" w:cs="仿宋"/>
          <w:color w:val="auto"/>
          <w:sz w:val="32"/>
          <w:szCs w:val="32"/>
        </w:rPr>
        <w:t>。</w:t>
      </w:r>
    </w:p>
    <w:p w14:paraId="61B4AC66">
      <w:pPr>
        <w:pageBreakBefore w:val="0"/>
        <w:kinsoku/>
        <w:wordWrap/>
        <w:overflowPunct/>
        <w:topLinePunct w:val="0"/>
        <w:autoSpaceDE/>
        <w:autoSpaceDN/>
        <w:bidi w:val="0"/>
        <w:spacing w:line="540" w:lineRule="exact"/>
        <w:ind w:left="0" w:leftChars="0" w:right="0" w:righ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柳州市市场监管局按照《柳州市工商行政管理局“十三五”规划》、《柳州市质量技术监督事业第十三个五年规划》、《柳州市食品药品安全“十三五”规划》的总体思路，</w:t>
      </w:r>
      <w:r>
        <w:rPr>
          <w:rFonts w:hint="eastAsia" w:ascii="仿宋" w:hAnsi="仿宋" w:eastAsia="仿宋" w:cs="仿宋"/>
          <w:color w:val="auto"/>
          <w:sz w:val="32"/>
          <w:szCs w:val="32"/>
        </w:rPr>
        <w:t>认真贯彻</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委、</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政府</w:t>
      </w:r>
      <w:r>
        <w:rPr>
          <w:rFonts w:hint="eastAsia" w:ascii="仿宋" w:hAnsi="仿宋" w:eastAsia="仿宋" w:cs="仿宋"/>
          <w:color w:val="auto"/>
          <w:sz w:val="32"/>
          <w:szCs w:val="32"/>
          <w:lang w:val="en-US" w:eastAsia="zh-CN"/>
        </w:rPr>
        <w:t>及上级部门的</w:t>
      </w:r>
      <w:r>
        <w:rPr>
          <w:rFonts w:hint="eastAsia" w:ascii="仿宋" w:hAnsi="仿宋" w:eastAsia="仿宋" w:cs="仿宋"/>
          <w:color w:val="auto"/>
          <w:sz w:val="32"/>
          <w:szCs w:val="32"/>
          <w:lang w:eastAsia="zh-CN"/>
        </w:rPr>
        <w:t>决策</w:t>
      </w:r>
      <w:r>
        <w:rPr>
          <w:rFonts w:hint="eastAsia" w:ascii="仿宋" w:hAnsi="仿宋" w:eastAsia="仿宋" w:cs="仿宋"/>
          <w:color w:val="auto"/>
          <w:sz w:val="32"/>
          <w:szCs w:val="32"/>
        </w:rPr>
        <w:t>部署，</w:t>
      </w:r>
      <w:r>
        <w:rPr>
          <w:rFonts w:hint="eastAsia" w:ascii="仿宋" w:hAnsi="仿宋" w:eastAsia="仿宋" w:cs="仿宋"/>
          <w:color w:val="auto"/>
          <w:sz w:val="32"/>
          <w:szCs w:val="32"/>
          <w:lang w:eastAsia="zh-CN"/>
        </w:rPr>
        <w:t>结合改革发展实际，紧紧</w:t>
      </w:r>
      <w:r>
        <w:rPr>
          <w:rFonts w:hint="eastAsia" w:ascii="仿宋" w:hAnsi="仿宋" w:eastAsia="仿宋" w:cs="仿宋"/>
          <w:color w:val="auto"/>
          <w:sz w:val="32"/>
          <w:szCs w:val="32"/>
        </w:rPr>
        <w:t>围绕</w:t>
      </w:r>
      <w:r>
        <w:rPr>
          <w:rFonts w:hint="eastAsia" w:ascii="仿宋" w:hAnsi="仿宋" w:eastAsia="仿宋" w:cs="仿宋"/>
          <w:color w:val="auto"/>
          <w:sz w:val="32"/>
          <w:szCs w:val="32"/>
          <w:lang w:eastAsia="zh-CN"/>
        </w:rPr>
        <w:t>“强责任、严监管、优服务、促发展”的总体思路，各项工作</w:t>
      </w:r>
      <w:r>
        <w:rPr>
          <w:rFonts w:hint="eastAsia" w:ascii="仿宋" w:hAnsi="仿宋" w:eastAsia="仿宋" w:cs="仿宋"/>
          <w:color w:val="auto"/>
          <w:sz w:val="32"/>
          <w:szCs w:val="32"/>
        </w:rPr>
        <w:t>取得</w:t>
      </w:r>
      <w:r>
        <w:rPr>
          <w:rFonts w:hint="eastAsia" w:ascii="仿宋" w:hAnsi="仿宋" w:eastAsia="仿宋" w:cs="仿宋"/>
          <w:color w:val="auto"/>
          <w:sz w:val="32"/>
          <w:szCs w:val="32"/>
          <w:lang w:eastAsia="zh-CN"/>
        </w:rPr>
        <w:t>显著成效，开创了市场监管事业的新局面。</w:t>
      </w:r>
      <w:r>
        <w:rPr>
          <w:rFonts w:hint="eastAsia" w:ascii="仿宋" w:hAnsi="仿宋" w:eastAsia="仿宋" w:cs="仿宋"/>
          <w:color w:val="auto"/>
          <w:sz w:val="32"/>
          <w:szCs w:val="32"/>
          <w:lang w:val="en-US" w:eastAsia="zh-CN"/>
        </w:rPr>
        <w:t>2020年作为“十三五”规划的收官之年，</w:t>
      </w:r>
      <w:r>
        <w:rPr>
          <w:rFonts w:hint="eastAsia" w:ascii="仿宋" w:hAnsi="仿宋" w:eastAsia="仿宋" w:cs="仿宋"/>
          <w:color w:val="auto"/>
          <w:sz w:val="32"/>
          <w:szCs w:val="32"/>
        </w:rPr>
        <w:t>现就</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lang w:val="en-US" w:eastAsia="zh-CN"/>
        </w:rPr>
        <w:t>部</w:t>
      </w:r>
      <w:r>
        <w:rPr>
          <w:rFonts w:hint="eastAsia" w:ascii="仿宋" w:hAnsi="仿宋" w:eastAsia="仿宋" w:cs="仿宋"/>
          <w:color w:val="auto"/>
          <w:sz w:val="32"/>
          <w:szCs w:val="32"/>
        </w:rPr>
        <w:t xml:space="preserve">《规划》执行情况评估报告如下： </w:t>
      </w:r>
    </w:p>
    <w:p w14:paraId="3A197CDB">
      <w:pPr>
        <w:pStyle w:val="2"/>
        <w:pageBreakBefore w:val="0"/>
        <w:numPr>
          <w:ilvl w:val="0"/>
          <w:numId w:val="1"/>
        </w:numPr>
        <w:kinsoku/>
        <w:wordWrap/>
        <w:overflowPunct/>
        <w:topLinePunct w:val="0"/>
        <w:autoSpaceDE/>
        <w:autoSpaceDN/>
        <w:bidi w:val="0"/>
        <w:spacing w:before="0" w:after="0" w:line="540" w:lineRule="exact"/>
        <w:ind w:left="0" w:leftChars="0" w:right="0" w:rightChars="0" w:firstLine="64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“十三五”规划的主要完成情况</w:t>
      </w:r>
    </w:p>
    <w:p w14:paraId="7FE11BDC">
      <w:pPr>
        <w:pStyle w:val="2"/>
        <w:pageBreakBefore w:val="0"/>
        <w:numPr>
          <w:ilvl w:val="0"/>
          <w:numId w:val="0"/>
        </w:numPr>
        <w:kinsoku/>
        <w:wordWrap/>
        <w:overflowPunct/>
        <w:topLinePunct w:val="0"/>
        <w:autoSpaceDE/>
        <w:autoSpaceDN/>
        <w:bidi w:val="0"/>
        <w:spacing w:before="0" w:after="0" w:line="54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shd w:val="clear" w:fill="FFFFFF"/>
        </w:rPr>
        <w:t>绝大多数规划指标</w:t>
      </w:r>
      <w:r>
        <w:rPr>
          <w:rFonts w:hint="eastAsia" w:ascii="仿宋" w:hAnsi="仿宋" w:eastAsia="仿宋" w:cs="仿宋"/>
          <w:b w:val="0"/>
          <w:bCs w:val="0"/>
          <w:color w:val="auto"/>
          <w:sz w:val="32"/>
          <w:szCs w:val="32"/>
          <w:shd w:val="clear" w:fill="FFFFFF"/>
          <w:lang w:eastAsia="zh-CN"/>
        </w:rPr>
        <w:t>任务已</w:t>
      </w:r>
      <w:r>
        <w:rPr>
          <w:rFonts w:hint="eastAsia" w:ascii="仿宋" w:hAnsi="仿宋" w:eastAsia="仿宋" w:cs="仿宋"/>
          <w:b w:val="0"/>
          <w:bCs w:val="0"/>
          <w:color w:val="auto"/>
          <w:sz w:val="32"/>
          <w:szCs w:val="32"/>
          <w:shd w:val="clear" w:fill="FFFFFF"/>
        </w:rPr>
        <w:t>完成或者超额完成</w:t>
      </w:r>
      <w:r>
        <w:rPr>
          <w:rFonts w:hint="eastAsia" w:ascii="仿宋" w:hAnsi="仿宋" w:eastAsia="仿宋" w:cs="仿宋"/>
          <w:b w:val="0"/>
          <w:bCs w:val="0"/>
          <w:color w:val="auto"/>
          <w:sz w:val="32"/>
          <w:szCs w:val="32"/>
          <w:shd w:val="clear" w:fill="FFFFFF"/>
          <w:lang w:eastAsia="zh-CN"/>
        </w:rPr>
        <w:t>，具体表现为：</w:t>
      </w:r>
    </w:p>
    <w:p w14:paraId="78751D44">
      <w:pPr>
        <w:pageBreakBefore w:val="0"/>
        <w:widowControl w:val="0"/>
        <w:numPr>
          <w:ilvl w:val="0"/>
          <w:numId w:val="0"/>
        </w:numPr>
        <w:kinsoku/>
        <w:wordWrap/>
        <w:overflowPunct/>
        <w:topLinePunct w:val="0"/>
        <w:autoSpaceDE/>
        <w:autoSpaceDN/>
        <w:bidi w:val="0"/>
        <w:spacing w:line="540" w:lineRule="exact"/>
        <w:ind w:left="0" w:leftChars="0" w:right="0" w:rightChars="0" w:firstLine="643" w:firstLineChars="200"/>
        <w:jc w:val="both"/>
        <w:textAlignment w:val="auto"/>
        <w:rPr>
          <w:rFonts w:hint="eastAsia" w:ascii="仿宋" w:hAnsi="仿宋" w:eastAsia="仿宋" w:cs="仿宋"/>
          <w:b/>
          <w:bCs/>
          <w:color w:val="auto"/>
          <w:spacing w:val="0"/>
          <w:sz w:val="32"/>
          <w:szCs w:val="32"/>
          <w:lang w:eastAsia="zh-CN"/>
        </w:rPr>
      </w:pPr>
      <w:r>
        <w:rPr>
          <w:rFonts w:hint="eastAsia" w:ascii="仿宋" w:hAnsi="仿宋" w:eastAsia="仿宋" w:cs="仿宋"/>
          <w:b/>
          <w:bCs/>
          <w:color w:val="auto"/>
          <w:spacing w:val="0"/>
          <w:sz w:val="32"/>
          <w:szCs w:val="32"/>
          <w:lang w:eastAsia="zh-CN"/>
        </w:rPr>
        <w:t>（一）持续深化商事制度改革，服务市场主体健康发展。</w:t>
      </w:r>
    </w:p>
    <w:p w14:paraId="0BA4DFF0">
      <w:pPr>
        <w:pageBreakBefore w:val="0"/>
        <w:widowControl w:val="0"/>
        <w:kinsoku/>
        <w:wordWrap/>
        <w:overflowPunct/>
        <w:topLinePunct w:val="0"/>
        <w:autoSpaceDE/>
        <w:autoSpaceDN/>
        <w:bidi w:val="0"/>
        <w:spacing w:beforeAutospacing="0" w:afterAutospacing="0" w:line="540" w:lineRule="exact"/>
        <w:ind w:left="0" w:leftChars="0" w:right="0" w:rightChars="0" w:firstLine="640" w:firstLineChars="200"/>
        <w:jc w:val="both"/>
        <w:textAlignment w:val="auto"/>
        <w:rPr>
          <w:rFonts w:hint="eastAsia" w:ascii="仿宋" w:hAnsi="仿宋" w:eastAsia="仿宋" w:cs="仿宋"/>
          <w:b w:val="0"/>
          <w:bCs w:val="0"/>
          <w:i w:val="0"/>
          <w:caps w:val="0"/>
          <w:color w:val="auto"/>
          <w:spacing w:val="0"/>
          <w:sz w:val="32"/>
          <w:szCs w:val="32"/>
          <w:u w:val="none"/>
        </w:rPr>
      </w:pPr>
      <w:r>
        <w:rPr>
          <w:rFonts w:hint="eastAsia" w:ascii="仿宋" w:hAnsi="仿宋" w:eastAsia="仿宋" w:cs="仿宋"/>
          <w:b w:val="0"/>
          <w:bCs w:val="0"/>
          <w:i w:val="0"/>
          <w:caps w:val="0"/>
          <w:color w:val="auto"/>
          <w:spacing w:val="0"/>
          <w:sz w:val="32"/>
          <w:szCs w:val="32"/>
          <w:u w:val="none"/>
          <w:lang w:eastAsia="zh-CN"/>
        </w:rPr>
        <w:t>全面推行</w:t>
      </w:r>
      <w:r>
        <w:rPr>
          <w:rFonts w:hint="eastAsia" w:ascii="仿宋" w:hAnsi="仿宋" w:eastAsia="仿宋" w:cs="仿宋"/>
          <w:b w:val="0"/>
          <w:bCs w:val="0"/>
          <w:i w:val="0"/>
          <w:caps w:val="0"/>
          <w:color w:val="auto"/>
          <w:spacing w:val="0"/>
          <w:sz w:val="32"/>
          <w:szCs w:val="32"/>
          <w:u w:val="none"/>
          <w:shd w:val="clear" w:color="auto" w:fill="auto"/>
        </w:rPr>
        <w:t>“证照分离”改革</w:t>
      </w:r>
      <w:r>
        <w:rPr>
          <w:rFonts w:hint="eastAsia" w:ascii="仿宋" w:hAnsi="仿宋" w:eastAsia="仿宋" w:cs="仿宋"/>
          <w:b w:val="0"/>
          <w:bCs w:val="0"/>
          <w:i w:val="0"/>
          <w:caps w:val="0"/>
          <w:color w:val="auto"/>
          <w:spacing w:val="0"/>
          <w:sz w:val="32"/>
          <w:szCs w:val="32"/>
          <w:u w:val="none"/>
          <w:shd w:val="clear" w:color="auto" w:fill="auto"/>
          <w:lang w:val="en-US" w:eastAsia="zh-CN"/>
        </w:rPr>
        <w:t>和企业注销便利化改革</w:t>
      </w:r>
      <w:r>
        <w:rPr>
          <w:rFonts w:hint="eastAsia" w:ascii="仿宋" w:hAnsi="仿宋" w:eastAsia="仿宋" w:cs="仿宋"/>
          <w:b w:val="0"/>
          <w:bCs w:val="0"/>
          <w:i w:val="0"/>
          <w:caps w:val="0"/>
          <w:color w:val="auto"/>
          <w:spacing w:val="0"/>
          <w:sz w:val="32"/>
          <w:szCs w:val="32"/>
          <w:u w:val="none"/>
          <w:shd w:val="clear" w:color="auto" w:fill="auto"/>
          <w:lang w:eastAsia="zh-CN"/>
        </w:rPr>
        <w:t>，</w:t>
      </w:r>
      <w:r>
        <w:rPr>
          <w:rFonts w:hint="eastAsia" w:ascii="仿宋" w:hAnsi="仿宋" w:eastAsia="仿宋" w:cs="仿宋"/>
          <w:b w:val="0"/>
          <w:bCs w:val="0"/>
          <w:color w:val="auto"/>
          <w:sz w:val="32"/>
          <w:szCs w:val="32"/>
          <w:lang w:eastAsia="zh-CN"/>
        </w:rPr>
        <w:t>有效</w:t>
      </w:r>
      <w:r>
        <w:rPr>
          <w:rFonts w:hint="eastAsia" w:ascii="仿宋" w:hAnsi="仿宋" w:eastAsia="仿宋" w:cs="仿宋"/>
          <w:b w:val="0"/>
          <w:bCs w:val="0"/>
          <w:i w:val="0"/>
          <w:caps w:val="0"/>
          <w:color w:val="auto"/>
          <w:spacing w:val="0"/>
          <w:sz w:val="32"/>
          <w:szCs w:val="32"/>
          <w:u w:val="none"/>
          <w:shd w:val="clear" w:color="auto" w:fill="auto"/>
          <w:lang w:eastAsia="zh-CN"/>
        </w:rPr>
        <w:t>解决了企业“准入不准营”</w:t>
      </w:r>
      <w:r>
        <w:rPr>
          <w:rFonts w:hint="eastAsia" w:ascii="仿宋" w:hAnsi="仿宋" w:eastAsia="仿宋" w:cs="仿宋"/>
          <w:b w:val="0"/>
          <w:bCs w:val="0"/>
          <w:i w:val="0"/>
          <w:caps w:val="0"/>
          <w:color w:val="auto"/>
          <w:spacing w:val="0"/>
          <w:sz w:val="32"/>
          <w:szCs w:val="32"/>
          <w:u w:val="none"/>
          <w:shd w:val="clear" w:color="auto" w:fill="auto"/>
          <w:lang w:val="en-US" w:eastAsia="zh-CN"/>
        </w:rPr>
        <w:t>和</w:t>
      </w:r>
      <w:r>
        <w:rPr>
          <w:rFonts w:hint="eastAsia" w:ascii="仿宋" w:hAnsi="仿宋" w:eastAsia="仿宋" w:cs="仿宋"/>
          <w:b w:val="0"/>
          <w:bCs w:val="0"/>
          <w:i w:val="0"/>
          <w:caps w:val="0"/>
          <w:color w:val="auto"/>
          <w:spacing w:val="0"/>
          <w:sz w:val="32"/>
          <w:szCs w:val="32"/>
          <w:u w:val="none"/>
        </w:rPr>
        <w:t>“进门容易出门难”</w:t>
      </w:r>
      <w:r>
        <w:rPr>
          <w:rFonts w:hint="eastAsia" w:ascii="仿宋" w:hAnsi="仿宋" w:eastAsia="仿宋" w:cs="仿宋"/>
          <w:b w:val="0"/>
          <w:bCs w:val="0"/>
          <w:i w:val="0"/>
          <w:caps w:val="0"/>
          <w:color w:val="auto"/>
          <w:spacing w:val="0"/>
          <w:sz w:val="32"/>
          <w:szCs w:val="32"/>
          <w:u w:val="none"/>
          <w:shd w:val="clear" w:color="auto" w:fill="auto"/>
          <w:lang w:eastAsia="zh-CN"/>
        </w:rPr>
        <w:t>的问题</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lang w:val="en-US" w:eastAsia="zh-CN"/>
        </w:rPr>
        <w:t>认真组织开展优化营商环境“百日攻坚”和突破年行动</w:t>
      </w:r>
      <w:r>
        <w:rPr>
          <w:rFonts w:hint="eastAsia" w:ascii="仿宋" w:hAnsi="仿宋" w:eastAsia="仿宋" w:cs="仿宋"/>
          <w:b w:val="0"/>
          <w:bCs w:val="0"/>
          <w:i w:val="0"/>
          <w:caps w:val="0"/>
          <w:color w:val="auto"/>
          <w:spacing w:val="0"/>
          <w:sz w:val="32"/>
          <w:szCs w:val="32"/>
          <w:u w:val="none"/>
          <w:lang w:eastAsia="zh-CN"/>
        </w:rPr>
        <w:t>，</w:t>
      </w:r>
      <w:r>
        <w:rPr>
          <w:rFonts w:hint="eastAsia" w:ascii="仿宋" w:hAnsi="仿宋" w:eastAsia="仿宋" w:cs="仿宋"/>
          <w:b w:val="0"/>
          <w:bCs w:val="0"/>
          <w:i w:val="0"/>
          <w:caps w:val="0"/>
          <w:color w:val="auto"/>
          <w:spacing w:val="0"/>
          <w:sz w:val="32"/>
          <w:szCs w:val="32"/>
          <w:u w:val="none"/>
          <w:lang w:val="en-US" w:eastAsia="zh-CN"/>
        </w:rPr>
        <w:t>在企业登记审批环节，通过</w:t>
      </w:r>
      <w:r>
        <w:rPr>
          <w:rFonts w:hint="eastAsia" w:ascii="仿宋" w:hAnsi="仿宋" w:eastAsia="仿宋" w:cs="仿宋"/>
          <w:b w:val="0"/>
          <w:i w:val="0"/>
          <w:caps w:val="0"/>
          <w:color w:val="auto"/>
          <w:spacing w:val="0"/>
          <w:sz w:val="32"/>
          <w:szCs w:val="32"/>
          <w:u w:val="none"/>
        </w:rPr>
        <w:t>采取网上办理、流程并联、限时办结等多种优化措施，促使办理效率进一步提升，</w:t>
      </w:r>
      <w:r>
        <w:rPr>
          <w:rFonts w:hint="eastAsia" w:ascii="仿宋" w:hAnsi="仿宋" w:eastAsia="仿宋" w:cs="仿宋"/>
          <w:b w:val="0"/>
          <w:i w:val="0"/>
          <w:caps w:val="0"/>
          <w:color w:val="auto"/>
          <w:spacing w:val="0"/>
          <w:sz w:val="32"/>
          <w:szCs w:val="32"/>
          <w:u w:val="none"/>
          <w:lang w:val="en-US" w:eastAsia="zh-CN"/>
        </w:rPr>
        <w:t>三季度</w:t>
      </w:r>
      <w:r>
        <w:rPr>
          <w:rFonts w:hint="eastAsia" w:ascii="仿宋" w:hAnsi="仿宋" w:eastAsia="仿宋" w:cs="仿宋"/>
          <w:b w:val="0"/>
          <w:i w:val="0"/>
          <w:caps w:val="0"/>
          <w:color w:val="auto"/>
          <w:spacing w:val="0"/>
          <w:sz w:val="32"/>
          <w:szCs w:val="32"/>
          <w:u w:val="none"/>
        </w:rPr>
        <w:t>我市企业开办时间压缩</w:t>
      </w:r>
      <w:r>
        <w:rPr>
          <w:rFonts w:hint="eastAsia" w:ascii="仿宋" w:hAnsi="仿宋" w:eastAsia="仿宋" w:cs="仿宋"/>
          <w:b w:val="0"/>
          <w:i w:val="0"/>
          <w:caps w:val="0"/>
          <w:color w:val="auto"/>
          <w:spacing w:val="0"/>
          <w:sz w:val="32"/>
          <w:szCs w:val="32"/>
          <w:u w:val="none"/>
          <w:lang w:val="en-US" w:eastAsia="zh-CN"/>
        </w:rPr>
        <w:t>到1小时以内办结，</w:t>
      </w:r>
      <w:r>
        <w:rPr>
          <w:rFonts w:hint="eastAsia" w:ascii="仿宋" w:hAnsi="仿宋" w:eastAsia="仿宋" w:cs="仿宋"/>
          <w:b w:val="0"/>
          <w:i w:val="0"/>
          <w:caps w:val="0"/>
          <w:color w:val="auto"/>
          <w:spacing w:val="0"/>
          <w:sz w:val="32"/>
          <w:szCs w:val="32"/>
          <w:u w:val="none"/>
        </w:rPr>
        <w:t>比一季度减少81.1%，时间压缩量全区排名第三，企业开办指标第三季度排名全区第一。</w:t>
      </w:r>
      <w:r>
        <w:rPr>
          <w:rFonts w:hint="eastAsia" w:ascii="仿宋" w:hAnsi="仿宋" w:eastAsia="仿宋" w:cs="仿宋"/>
          <w:b w:val="0"/>
          <w:bCs w:val="0"/>
          <w:i w:val="0"/>
          <w:caps w:val="0"/>
          <w:color w:val="auto"/>
          <w:spacing w:val="0"/>
          <w:sz w:val="32"/>
          <w:szCs w:val="32"/>
          <w:u w:val="none"/>
          <w:lang w:eastAsia="zh-CN"/>
        </w:rPr>
        <w:t>通过优化</w:t>
      </w:r>
      <w:r>
        <w:rPr>
          <w:rFonts w:hint="eastAsia" w:ascii="仿宋" w:hAnsi="仿宋" w:eastAsia="仿宋" w:cs="仿宋"/>
          <w:b w:val="0"/>
          <w:bCs w:val="0"/>
          <w:i w:val="0"/>
          <w:caps w:val="0"/>
          <w:color w:val="auto"/>
          <w:spacing w:val="0"/>
          <w:sz w:val="32"/>
          <w:szCs w:val="32"/>
          <w:u w:val="none"/>
        </w:rPr>
        <w:t>营商环境，</w:t>
      </w:r>
      <w:r>
        <w:rPr>
          <w:rFonts w:hint="eastAsia" w:ascii="仿宋" w:hAnsi="仿宋" w:eastAsia="仿宋" w:cs="仿宋"/>
          <w:b w:val="0"/>
          <w:bCs w:val="0"/>
          <w:i w:val="0"/>
          <w:caps w:val="0"/>
          <w:color w:val="auto"/>
          <w:spacing w:val="0"/>
          <w:sz w:val="32"/>
          <w:szCs w:val="32"/>
          <w:u w:val="none"/>
          <w:lang w:eastAsia="zh-CN"/>
        </w:rPr>
        <w:t>进一步</w:t>
      </w:r>
      <w:r>
        <w:rPr>
          <w:rFonts w:hint="eastAsia" w:ascii="仿宋" w:hAnsi="仿宋" w:eastAsia="仿宋" w:cs="仿宋"/>
          <w:b w:val="0"/>
          <w:bCs w:val="0"/>
          <w:i w:val="0"/>
          <w:caps w:val="0"/>
          <w:color w:val="auto"/>
          <w:spacing w:val="0"/>
          <w:sz w:val="32"/>
          <w:szCs w:val="32"/>
          <w:u w:val="none"/>
        </w:rPr>
        <w:t>激发了市场活力，</w:t>
      </w:r>
      <w:r>
        <w:rPr>
          <w:rFonts w:hint="eastAsia" w:ascii="仿宋" w:hAnsi="仿宋" w:eastAsia="仿宋" w:cs="仿宋"/>
          <w:b w:val="0"/>
          <w:bCs w:val="0"/>
          <w:i w:val="0"/>
          <w:caps w:val="0"/>
          <w:color w:val="auto"/>
          <w:spacing w:val="0"/>
          <w:sz w:val="32"/>
          <w:szCs w:val="32"/>
          <w:u w:val="none"/>
          <w:lang w:eastAsia="zh-CN"/>
        </w:rPr>
        <w:t>目前</w:t>
      </w:r>
      <w:r>
        <w:rPr>
          <w:rFonts w:hint="eastAsia" w:ascii="仿宋" w:hAnsi="仿宋" w:eastAsia="仿宋" w:cs="仿宋"/>
          <w:b w:val="0"/>
          <w:bCs w:val="0"/>
          <w:i w:val="0"/>
          <w:caps w:val="0"/>
          <w:color w:val="auto"/>
          <w:spacing w:val="0"/>
          <w:sz w:val="32"/>
          <w:szCs w:val="32"/>
          <w:u w:val="none"/>
          <w:lang w:val="en-US" w:eastAsia="zh-CN"/>
        </w:rPr>
        <w:t>我市登记在业的各类市场主体已突破29万户，</w:t>
      </w:r>
      <w:r>
        <w:rPr>
          <w:rFonts w:hint="eastAsia" w:ascii="仿宋" w:hAnsi="仿宋" w:eastAsia="仿宋" w:cs="仿宋"/>
          <w:b w:val="0"/>
          <w:bCs w:val="0"/>
          <w:i w:val="0"/>
          <w:caps w:val="0"/>
          <w:color w:val="auto"/>
          <w:spacing w:val="0"/>
          <w:sz w:val="32"/>
          <w:szCs w:val="32"/>
          <w:u w:val="none"/>
        </w:rPr>
        <w:t>同比增长20.</w:t>
      </w:r>
      <w:r>
        <w:rPr>
          <w:rFonts w:hint="eastAsia" w:ascii="仿宋" w:hAnsi="仿宋" w:eastAsia="仿宋" w:cs="仿宋"/>
          <w:b w:val="0"/>
          <w:bCs w:val="0"/>
          <w:i w:val="0"/>
          <w:caps w:val="0"/>
          <w:color w:val="auto"/>
          <w:spacing w:val="0"/>
          <w:sz w:val="32"/>
          <w:szCs w:val="32"/>
          <w:u w:val="none"/>
          <w:lang w:val="en-US" w:eastAsia="zh-CN"/>
        </w:rPr>
        <w:t>5</w:t>
      </w:r>
      <w:r>
        <w:rPr>
          <w:rFonts w:hint="eastAsia" w:ascii="仿宋" w:hAnsi="仿宋" w:eastAsia="仿宋" w:cs="仿宋"/>
          <w:b w:val="0"/>
          <w:bCs w:val="0"/>
          <w:i w:val="0"/>
          <w:caps w:val="0"/>
          <w:color w:val="auto"/>
          <w:spacing w:val="0"/>
          <w:sz w:val="32"/>
          <w:szCs w:val="32"/>
          <w:u w:val="none"/>
        </w:rPr>
        <w:t>%，高于全区平均水平</w:t>
      </w:r>
      <w:r>
        <w:rPr>
          <w:rFonts w:hint="eastAsia" w:ascii="仿宋" w:hAnsi="仿宋" w:eastAsia="仿宋" w:cs="仿宋"/>
          <w:b w:val="0"/>
          <w:bCs w:val="0"/>
          <w:i w:val="0"/>
          <w:caps w:val="0"/>
          <w:color w:val="auto"/>
          <w:spacing w:val="0"/>
          <w:sz w:val="32"/>
          <w:szCs w:val="32"/>
          <w:u w:val="none"/>
          <w:lang w:eastAsia="zh-CN"/>
        </w:rPr>
        <w:t>九</w:t>
      </w:r>
      <w:r>
        <w:rPr>
          <w:rFonts w:hint="eastAsia" w:ascii="仿宋" w:hAnsi="仿宋" w:eastAsia="仿宋" w:cs="仿宋"/>
          <w:b w:val="0"/>
          <w:bCs w:val="0"/>
          <w:i w:val="0"/>
          <w:caps w:val="0"/>
          <w:color w:val="auto"/>
          <w:spacing w:val="0"/>
          <w:sz w:val="32"/>
          <w:szCs w:val="32"/>
          <w:u w:val="none"/>
        </w:rPr>
        <w:t>个百分点。我</w:t>
      </w:r>
      <w:r>
        <w:rPr>
          <w:rFonts w:hint="eastAsia" w:ascii="仿宋" w:hAnsi="仿宋" w:eastAsia="仿宋" w:cs="仿宋"/>
          <w:b w:val="0"/>
          <w:bCs w:val="0"/>
          <w:i w:val="0"/>
          <w:caps w:val="0"/>
          <w:color w:val="auto"/>
          <w:spacing w:val="0"/>
          <w:sz w:val="32"/>
          <w:szCs w:val="32"/>
          <w:u w:val="none"/>
          <w:lang w:eastAsia="zh-CN"/>
        </w:rPr>
        <w:t>市</w:t>
      </w:r>
      <w:r>
        <w:rPr>
          <w:rFonts w:hint="eastAsia" w:ascii="仿宋" w:hAnsi="仿宋" w:eastAsia="仿宋" w:cs="仿宋"/>
          <w:b w:val="0"/>
          <w:bCs w:val="0"/>
          <w:i w:val="0"/>
          <w:caps w:val="0"/>
          <w:color w:val="auto"/>
          <w:spacing w:val="0"/>
          <w:sz w:val="32"/>
          <w:szCs w:val="32"/>
          <w:u w:val="none"/>
        </w:rPr>
        <w:t>在深化商事制度改革</w:t>
      </w:r>
      <w:r>
        <w:rPr>
          <w:rFonts w:hint="eastAsia" w:ascii="仿宋" w:hAnsi="仿宋" w:eastAsia="仿宋" w:cs="仿宋"/>
          <w:b w:val="0"/>
          <w:bCs w:val="0"/>
          <w:i w:val="0"/>
          <w:caps w:val="0"/>
          <w:color w:val="auto"/>
          <w:spacing w:val="0"/>
          <w:sz w:val="32"/>
          <w:szCs w:val="32"/>
          <w:u w:val="none"/>
          <w:lang w:eastAsia="zh-CN"/>
        </w:rPr>
        <w:t>中</w:t>
      </w:r>
      <w:r>
        <w:rPr>
          <w:rFonts w:hint="eastAsia" w:ascii="仿宋" w:hAnsi="仿宋" w:eastAsia="仿宋" w:cs="仿宋"/>
          <w:b w:val="0"/>
          <w:bCs w:val="0"/>
          <w:i w:val="0"/>
          <w:caps w:val="0"/>
          <w:color w:val="auto"/>
          <w:spacing w:val="0"/>
          <w:sz w:val="32"/>
          <w:szCs w:val="32"/>
          <w:u w:val="none"/>
        </w:rPr>
        <w:t>取得</w:t>
      </w:r>
      <w:r>
        <w:rPr>
          <w:rFonts w:hint="eastAsia" w:ascii="仿宋" w:hAnsi="仿宋" w:eastAsia="仿宋" w:cs="仿宋"/>
          <w:b w:val="0"/>
          <w:bCs w:val="0"/>
          <w:i w:val="0"/>
          <w:caps w:val="0"/>
          <w:color w:val="auto"/>
          <w:spacing w:val="0"/>
          <w:sz w:val="32"/>
          <w:szCs w:val="32"/>
          <w:u w:val="none"/>
          <w:lang w:eastAsia="zh-CN"/>
        </w:rPr>
        <w:t>的</w:t>
      </w:r>
      <w:r>
        <w:rPr>
          <w:rFonts w:hint="eastAsia" w:ascii="仿宋" w:hAnsi="仿宋" w:eastAsia="仿宋" w:cs="仿宋"/>
          <w:b w:val="0"/>
          <w:bCs w:val="0"/>
          <w:i w:val="0"/>
          <w:caps w:val="0"/>
          <w:color w:val="auto"/>
          <w:spacing w:val="0"/>
          <w:sz w:val="32"/>
          <w:szCs w:val="32"/>
          <w:u w:val="none"/>
        </w:rPr>
        <w:t>显著成效</w:t>
      </w:r>
      <w:r>
        <w:rPr>
          <w:rFonts w:hint="eastAsia" w:ascii="仿宋" w:hAnsi="仿宋" w:eastAsia="仿宋" w:cs="仿宋"/>
          <w:b w:val="0"/>
          <w:bCs w:val="0"/>
          <w:i w:val="0"/>
          <w:caps w:val="0"/>
          <w:color w:val="auto"/>
          <w:spacing w:val="0"/>
          <w:sz w:val="32"/>
          <w:szCs w:val="32"/>
          <w:u w:val="none"/>
          <w:lang w:val="en-US" w:eastAsia="zh-CN"/>
        </w:rPr>
        <w:t>获得了自治区政府</w:t>
      </w:r>
      <w:r>
        <w:rPr>
          <w:rFonts w:hint="eastAsia" w:ascii="仿宋" w:hAnsi="仿宋" w:eastAsia="仿宋" w:cs="仿宋"/>
          <w:b w:val="0"/>
          <w:bCs w:val="0"/>
          <w:i w:val="0"/>
          <w:caps w:val="0"/>
          <w:color w:val="auto"/>
          <w:spacing w:val="0"/>
          <w:sz w:val="32"/>
          <w:szCs w:val="32"/>
          <w:u w:val="none"/>
        </w:rPr>
        <w:t>通报表扬。</w:t>
      </w:r>
    </w:p>
    <w:p w14:paraId="5B3B0163">
      <w:pPr>
        <w:pStyle w:val="2"/>
        <w:pageBreakBefore w:val="0"/>
        <w:widowControl w:val="0"/>
        <w:kinsoku/>
        <w:wordWrap/>
        <w:overflowPunct/>
        <w:topLinePunct w:val="0"/>
        <w:autoSpaceDE/>
        <w:autoSpaceDN/>
        <w:bidi w:val="0"/>
        <w:spacing w:before="0" w:after="0" w:line="540" w:lineRule="exact"/>
        <w:ind w:left="0" w:leftChars="0" w:right="0" w:rightChars="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i w:val="0"/>
          <w:caps w:val="0"/>
          <w:color w:val="auto"/>
          <w:spacing w:val="0"/>
          <w:sz w:val="32"/>
          <w:szCs w:val="32"/>
          <w:u w:val="none"/>
          <w:lang w:val="en-US" w:eastAsia="zh-CN"/>
        </w:rPr>
        <w:t xml:space="preserve">   </w:t>
      </w:r>
      <w:r>
        <w:rPr>
          <w:rFonts w:hint="eastAsia" w:ascii="仿宋" w:hAnsi="仿宋" w:eastAsia="仿宋" w:cs="仿宋"/>
          <w:b/>
          <w:bCs/>
          <w:i w:val="0"/>
          <w:caps w:val="0"/>
          <w:color w:val="auto"/>
          <w:spacing w:val="0"/>
          <w:sz w:val="32"/>
          <w:szCs w:val="32"/>
          <w:u w:val="none"/>
          <w:lang w:val="en-US" w:eastAsia="zh-CN"/>
        </w:rPr>
        <w:t xml:space="preserve"> （二）充分发挥全国质量强市示范引领作用，促进地方经济高质量发展。</w:t>
      </w:r>
    </w:p>
    <w:p w14:paraId="58C82713">
      <w:pPr>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color w:val="auto"/>
          <w:kern w:val="2"/>
          <w:sz w:val="32"/>
          <w:szCs w:val="32"/>
          <w:lang w:eastAsia="zh-CN"/>
        </w:rPr>
      </w:pPr>
      <w:r>
        <w:rPr>
          <w:rFonts w:hint="eastAsia" w:ascii="仿宋" w:hAnsi="仿宋" w:eastAsia="仿宋" w:cs="仿宋"/>
          <w:b/>
          <w:bCs/>
          <w:color w:val="auto"/>
          <w:sz w:val="32"/>
          <w:szCs w:val="32"/>
          <w:lang w:val="en-US" w:eastAsia="zh-CN"/>
        </w:rPr>
        <w:t>1.持续深入实施质量强市战略。</w:t>
      </w:r>
      <w:r>
        <w:rPr>
          <w:rFonts w:hint="eastAsia" w:ascii="仿宋" w:hAnsi="仿宋" w:eastAsia="仿宋" w:cs="仿宋"/>
          <w:b w:val="0"/>
          <w:bCs w:val="0"/>
          <w:color w:val="auto"/>
          <w:sz w:val="32"/>
          <w:szCs w:val="32"/>
          <w:lang w:val="en-US" w:eastAsia="zh-CN"/>
        </w:rPr>
        <w:t>顺利通过国家验收，获批成为广西首个“全国质量强市示范城市”。</w:t>
      </w:r>
      <w:r>
        <w:rPr>
          <w:rFonts w:hint="eastAsia" w:ascii="仿宋" w:hAnsi="仿宋" w:eastAsia="仿宋" w:cs="仿宋"/>
          <w:color w:val="auto"/>
          <w:sz w:val="32"/>
          <w:szCs w:val="32"/>
        </w:rPr>
        <w:t>始终坚持“质量第一</w:t>
      </w:r>
      <w:r>
        <w:rPr>
          <w:rFonts w:hint="eastAsia" w:ascii="仿宋" w:hAnsi="仿宋" w:eastAsia="仿宋" w:cs="仿宋"/>
          <w:color w:val="auto"/>
          <w:sz w:val="32"/>
          <w:szCs w:val="32"/>
          <w:lang w:eastAsia="zh-CN"/>
        </w:rPr>
        <w:t>、效益优先</w:t>
      </w:r>
      <w:r>
        <w:rPr>
          <w:rFonts w:hint="eastAsia" w:ascii="仿宋" w:hAnsi="仿宋" w:eastAsia="仿宋" w:cs="仿宋"/>
          <w:color w:val="auto"/>
          <w:sz w:val="32"/>
          <w:szCs w:val="32"/>
        </w:rPr>
        <w:t>”的发展理念，</w:t>
      </w:r>
      <w:r>
        <w:rPr>
          <w:rFonts w:hint="eastAsia" w:ascii="仿宋" w:hAnsi="仿宋" w:eastAsia="仿宋" w:cs="仿宋"/>
          <w:bCs/>
          <w:color w:val="auto"/>
          <w:sz w:val="32"/>
          <w:szCs w:val="32"/>
        </w:rPr>
        <w:t>将质量发展融入经济社会各方面，作为转方式、优结构、增动能的核心战略</w:t>
      </w:r>
      <w:r>
        <w:rPr>
          <w:rFonts w:hint="eastAsia" w:ascii="仿宋" w:hAnsi="仿宋" w:eastAsia="仿宋" w:cs="仿宋"/>
          <w:bCs/>
          <w:color w:val="auto"/>
          <w:sz w:val="32"/>
          <w:szCs w:val="32"/>
          <w:lang w:eastAsia="zh-CN"/>
        </w:rPr>
        <w:t>，以</w:t>
      </w:r>
      <w:r>
        <w:rPr>
          <w:rFonts w:hint="eastAsia" w:ascii="仿宋" w:hAnsi="仿宋" w:eastAsia="仿宋" w:cs="仿宋"/>
          <w:bCs/>
          <w:color w:val="auto"/>
          <w:sz w:val="32"/>
          <w:szCs w:val="32"/>
          <w:lang w:val="en-US" w:eastAsia="zh-CN"/>
        </w:rPr>
        <w:t>NQI为</w:t>
      </w:r>
      <w:r>
        <w:rPr>
          <w:rFonts w:hint="eastAsia" w:ascii="仿宋" w:hAnsi="仿宋" w:eastAsia="仿宋" w:cs="仿宋"/>
          <w:bCs/>
          <w:color w:val="auto"/>
          <w:sz w:val="32"/>
          <w:szCs w:val="32"/>
        </w:rPr>
        <w:t>有力抓手，</w:t>
      </w:r>
      <w:r>
        <w:rPr>
          <w:rFonts w:hint="eastAsia" w:ascii="仿宋" w:hAnsi="仿宋" w:eastAsia="仿宋" w:cs="仿宋"/>
          <w:color w:val="auto"/>
          <w:sz w:val="32"/>
          <w:szCs w:val="32"/>
        </w:rPr>
        <w:t>致力于质量提升推进工业城市转型升级。2017年</w:t>
      </w:r>
      <w:r>
        <w:rPr>
          <w:rFonts w:hint="eastAsia" w:ascii="仿宋" w:hAnsi="仿宋" w:eastAsia="仿宋" w:cs="仿宋"/>
          <w:color w:val="auto"/>
          <w:sz w:val="32"/>
          <w:szCs w:val="32"/>
          <w:lang w:val="en-US" w:eastAsia="zh-CN"/>
        </w:rPr>
        <w:t>11月，</w:t>
      </w:r>
      <w:r>
        <w:rPr>
          <w:rFonts w:hint="eastAsia" w:ascii="仿宋" w:hAnsi="仿宋" w:eastAsia="仿宋" w:cs="仿宋"/>
          <w:color w:val="auto"/>
          <w:sz w:val="32"/>
          <w:szCs w:val="32"/>
        </w:rPr>
        <w:t>我市以优异成绩通过了</w:t>
      </w:r>
      <w:r>
        <w:rPr>
          <w:rFonts w:hint="eastAsia" w:ascii="仿宋" w:hAnsi="仿宋" w:eastAsia="仿宋" w:cs="仿宋"/>
          <w:color w:val="auto"/>
          <w:sz w:val="32"/>
          <w:szCs w:val="32"/>
          <w:lang w:val="en-US" w:eastAsia="zh-CN"/>
        </w:rPr>
        <w:t>国家</w:t>
      </w:r>
      <w:r>
        <w:rPr>
          <w:rFonts w:hint="eastAsia" w:ascii="仿宋" w:hAnsi="仿宋" w:eastAsia="仿宋" w:cs="仿宋"/>
          <w:color w:val="auto"/>
          <w:sz w:val="32"/>
          <w:szCs w:val="32"/>
        </w:rPr>
        <w:t>考核验收，成为党的十九大后，全国首批、广西首个</w:t>
      </w:r>
      <w:r>
        <w:rPr>
          <w:rFonts w:hint="eastAsia" w:ascii="仿宋" w:hAnsi="仿宋" w:eastAsia="仿宋" w:cs="仿宋"/>
          <w:color w:val="auto"/>
          <w:sz w:val="32"/>
          <w:szCs w:val="32"/>
          <w:lang w:eastAsia="zh-CN"/>
        </w:rPr>
        <w:t>获</w:t>
      </w:r>
      <w:r>
        <w:rPr>
          <w:rFonts w:hint="eastAsia" w:ascii="仿宋" w:hAnsi="仿宋" w:eastAsia="仿宋" w:cs="仿宋"/>
          <w:color w:val="auto"/>
          <w:sz w:val="32"/>
          <w:szCs w:val="32"/>
        </w:rPr>
        <w:t>正式命名的“全国质量强市示范城市”。按照《中共中央国务院关于开展质量提升行动的指导意见》关于加强党对质量工作领导的要求，在全国率先以地方党委政府的名义出台</w:t>
      </w:r>
      <w:r>
        <w:rPr>
          <w:rFonts w:hint="eastAsia" w:ascii="仿宋" w:hAnsi="仿宋" w:eastAsia="仿宋" w:cs="仿宋"/>
          <w:b w:val="0"/>
          <w:bCs w:val="0"/>
          <w:color w:val="auto"/>
          <w:sz w:val="32"/>
          <w:szCs w:val="32"/>
        </w:rPr>
        <w:t>《柳州市城市转型升级质量发展导则》。</w:t>
      </w:r>
      <w:r>
        <w:rPr>
          <w:rFonts w:hint="eastAsia" w:ascii="仿宋" w:hAnsi="仿宋" w:eastAsia="仿宋" w:cs="仿宋"/>
          <w:color w:val="auto"/>
          <w:sz w:val="32"/>
          <w:szCs w:val="32"/>
        </w:rPr>
        <w:t>积极探索创新建立推进城市转型升级的质量发展长效机制，用标准形式和标准化方法，将行政政策的强制性和技术手段的有效性相结合，创新提出了以制造业质量竞争力指数、品牌产品产值和品牌企业产值占工业总产值比重</w:t>
      </w:r>
      <w:r>
        <w:rPr>
          <w:rFonts w:hint="eastAsia" w:ascii="仿宋" w:hAnsi="仿宋" w:eastAsia="仿宋" w:cs="仿宋"/>
          <w:color w:val="auto"/>
          <w:sz w:val="32"/>
          <w:szCs w:val="32"/>
          <w:lang w:eastAsia="zh-CN"/>
        </w:rPr>
        <w:t>、生产性和生活性</w:t>
      </w:r>
      <w:r>
        <w:rPr>
          <w:rFonts w:hint="eastAsia" w:ascii="仿宋" w:hAnsi="仿宋" w:eastAsia="仿宋" w:cs="仿宋"/>
          <w:color w:val="auto"/>
          <w:sz w:val="32"/>
          <w:szCs w:val="32"/>
        </w:rPr>
        <w:t>服务业质量满意度等为核心的质量效益发展新指标，为转变经济发展方式提供了鲜明的价值导向和评判依据，有效指导解决了党和国家质量政策措施落实执行“最后一公里”问题</w:t>
      </w:r>
      <w:r>
        <w:rPr>
          <w:rFonts w:hint="eastAsia" w:ascii="仿宋" w:hAnsi="仿宋" w:eastAsia="仿宋" w:cs="仿宋"/>
          <w:b w:val="0"/>
          <w:bCs w:val="0"/>
          <w:color w:val="auto"/>
          <w:sz w:val="32"/>
          <w:szCs w:val="32"/>
        </w:rPr>
        <w:t>。</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全国的</w:t>
      </w:r>
      <w:r>
        <w:rPr>
          <w:rFonts w:hint="eastAsia" w:ascii="仿宋" w:hAnsi="仿宋" w:eastAsia="仿宋" w:cs="仿宋"/>
          <w:color w:val="auto"/>
          <w:sz w:val="32"/>
          <w:szCs w:val="32"/>
        </w:rPr>
        <w:t>传统工业城市转型升级发展提供了</w:t>
      </w:r>
      <w:r>
        <w:rPr>
          <w:rFonts w:hint="eastAsia" w:ascii="仿宋" w:hAnsi="仿宋" w:eastAsia="仿宋" w:cs="仿宋"/>
          <w:color w:val="auto"/>
          <w:sz w:val="32"/>
          <w:szCs w:val="32"/>
          <w:lang w:eastAsia="zh-CN"/>
        </w:rPr>
        <w:t>可复制、可推广的</w:t>
      </w:r>
      <w:r>
        <w:rPr>
          <w:rFonts w:hint="eastAsia" w:ascii="仿宋" w:hAnsi="仿宋" w:eastAsia="仿宋" w:cs="仿宋"/>
          <w:color w:val="auto"/>
          <w:sz w:val="32"/>
          <w:szCs w:val="32"/>
        </w:rPr>
        <w:t>“柳州</w:t>
      </w:r>
      <w:r>
        <w:rPr>
          <w:rFonts w:hint="eastAsia" w:ascii="仿宋" w:hAnsi="仿宋" w:eastAsia="仿宋" w:cs="仿宋"/>
          <w:color w:val="auto"/>
          <w:sz w:val="32"/>
          <w:szCs w:val="32"/>
          <w:lang w:eastAsia="zh-CN"/>
        </w:rPr>
        <w:t>经验</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截至</w:t>
      </w:r>
      <w:r>
        <w:rPr>
          <w:rFonts w:hint="eastAsia" w:ascii="仿宋" w:hAnsi="仿宋" w:eastAsia="仿宋" w:cs="仿宋"/>
          <w:color w:val="auto"/>
          <w:kern w:val="2"/>
          <w:sz w:val="32"/>
          <w:szCs w:val="32"/>
          <w:lang w:val="en-US" w:eastAsia="zh-CN"/>
        </w:rPr>
        <w:t>2019年</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累计培育广西名牌产品</w:t>
      </w:r>
      <w:r>
        <w:rPr>
          <w:rFonts w:hint="eastAsia" w:ascii="仿宋" w:hAnsi="仿宋" w:eastAsia="仿宋" w:cs="仿宋"/>
          <w:color w:val="auto"/>
          <w:sz w:val="32"/>
          <w:szCs w:val="32"/>
          <w:lang w:val="en-US" w:eastAsia="zh-CN"/>
        </w:rPr>
        <w:t>325</w:t>
      </w:r>
      <w:r>
        <w:rPr>
          <w:rFonts w:hint="eastAsia" w:ascii="仿宋" w:hAnsi="仿宋" w:eastAsia="仿宋" w:cs="仿宋"/>
          <w:color w:val="auto"/>
          <w:sz w:val="32"/>
          <w:szCs w:val="32"/>
        </w:rPr>
        <w:t>个，自治区服务业品牌企业</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7家，</w:t>
      </w:r>
      <w:r>
        <w:rPr>
          <w:rFonts w:hint="eastAsia" w:ascii="仿宋" w:hAnsi="仿宋" w:eastAsia="仿宋" w:cs="仿宋"/>
          <w:color w:val="auto"/>
          <w:sz w:val="32"/>
          <w:szCs w:val="32"/>
          <w:highlight w:val="none"/>
          <w:lang w:eastAsia="zh-CN"/>
        </w:rPr>
        <w:t>全市</w:t>
      </w:r>
      <w:r>
        <w:rPr>
          <w:rFonts w:hint="eastAsia" w:ascii="仿宋" w:hAnsi="仿宋" w:eastAsia="仿宋" w:cs="仿宋"/>
          <w:color w:val="auto"/>
          <w:sz w:val="32"/>
          <w:szCs w:val="32"/>
        </w:rPr>
        <w:t>名牌企业产值及名牌产品产值占全市工业总产值的比重，分别由十二五末的39.99%和28.97%，提高到50.02%和34.03%，品牌产品产值占全市工业总产值</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比重逐年增加。全市制造业质量竞争力指数</w:t>
      </w:r>
      <w:r>
        <w:rPr>
          <w:rFonts w:hint="eastAsia" w:ascii="仿宋" w:hAnsi="仿宋" w:eastAsia="仿宋" w:cs="仿宋"/>
          <w:color w:val="auto"/>
          <w:sz w:val="32"/>
          <w:szCs w:val="32"/>
          <w:lang w:eastAsia="zh-CN"/>
        </w:rPr>
        <w:t>达到</w:t>
      </w:r>
      <w:r>
        <w:rPr>
          <w:rFonts w:hint="eastAsia" w:ascii="仿宋" w:hAnsi="仿宋" w:eastAsia="仿宋" w:cs="仿宋"/>
          <w:color w:val="auto"/>
          <w:sz w:val="32"/>
          <w:szCs w:val="32"/>
        </w:rPr>
        <w:t>8</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49</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继续保持广西领先、全国中上水平，</w:t>
      </w:r>
      <w:r>
        <w:rPr>
          <w:rFonts w:hint="eastAsia" w:ascii="仿宋" w:hAnsi="仿宋" w:eastAsia="仿宋" w:cs="仿宋"/>
          <w:color w:val="auto"/>
          <w:kern w:val="2"/>
          <w:sz w:val="32"/>
          <w:szCs w:val="32"/>
          <w:lang w:val="en-US" w:eastAsia="zh-CN"/>
        </w:rPr>
        <w:t>提前实现《中国制造2025》中2020年的既定目标</w:t>
      </w:r>
      <w:r>
        <w:rPr>
          <w:rFonts w:hint="eastAsia" w:ascii="仿宋" w:hAnsi="仿宋" w:eastAsia="仿宋" w:cs="仿宋"/>
          <w:color w:val="auto"/>
          <w:sz w:val="32"/>
          <w:szCs w:val="32"/>
        </w:rPr>
        <w:t>。</w:t>
      </w:r>
      <w:r>
        <w:rPr>
          <w:rFonts w:hint="eastAsia" w:ascii="仿宋" w:hAnsi="仿宋" w:eastAsia="仿宋" w:cs="仿宋"/>
          <w:color w:val="auto"/>
          <w:kern w:val="2"/>
          <w:sz w:val="32"/>
          <w:szCs w:val="32"/>
          <w:lang w:val="en-US" w:eastAsia="zh-CN"/>
        </w:rPr>
        <w:t>在2019年度自治区政府关于对落实有关重大政策措施真抓实干成效明显地方予以督查激励的通报中，我市被列为“推进质量工作成效突出市、县”，获通报激励。</w:t>
      </w:r>
    </w:p>
    <w:p w14:paraId="2EE7653F">
      <w:pPr>
        <w:pageBreakBefore w:val="0"/>
        <w:widowControl w:val="0"/>
        <w:numPr>
          <w:ilvl w:val="0"/>
          <w:numId w:val="0"/>
        </w:numPr>
        <w:kinsoku/>
        <w:wordWrap/>
        <w:overflowPunct/>
        <w:topLinePunct w:val="0"/>
        <w:autoSpaceDE/>
        <w:autoSpaceDN/>
        <w:bidi w:val="0"/>
        <w:spacing w:line="540" w:lineRule="exact"/>
        <w:ind w:left="0" w:leftChars="0" w:right="0" w:rightChars="0" w:firstLine="643" w:firstLineChars="200"/>
        <w:jc w:val="both"/>
        <w:textAlignment w:val="auto"/>
        <w:rPr>
          <w:rFonts w:hint="eastAsia" w:ascii="仿宋" w:hAnsi="仿宋" w:eastAsia="仿宋" w:cs="仿宋"/>
          <w:color w:val="auto"/>
          <w:sz w:val="32"/>
          <w:szCs w:val="32"/>
          <w:lang w:val="en-US"/>
        </w:rPr>
      </w:pPr>
      <w:r>
        <w:rPr>
          <w:rFonts w:hint="eastAsia" w:ascii="仿宋" w:hAnsi="仿宋" w:eastAsia="仿宋" w:cs="仿宋"/>
          <w:b/>
          <w:bCs w:val="0"/>
          <w:color w:val="auto"/>
          <w:sz w:val="32"/>
          <w:szCs w:val="32"/>
          <w:lang w:val="en-US" w:eastAsia="zh-CN"/>
        </w:rPr>
        <w:t>2.加大力度实施商标品牌战略。</w:t>
      </w:r>
      <w:r>
        <w:rPr>
          <w:rFonts w:hint="eastAsia" w:ascii="仿宋" w:hAnsi="仿宋" w:eastAsia="仿宋" w:cs="仿宋"/>
          <w:b w:val="0"/>
          <w:bCs/>
          <w:color w:val="auto"/>
          <w:sz w:val="32"/>
          <w:szCs w:val="32"/>
          <w:lang w:val="en-US" w:eastAsia="zh-CN"/>
        </w:rPr>
        <w:t>商标品牌创造、运用和保护体制机制日趋完善，商标品牌强柳战略向纵深推进。截至</w:t>
      </w:r>
      <w:r>
        <w:rPr>
          <w:rFonts w:hint="eastAsia" w:ascii="仿宋_GB2312" w:eastAsia="仿宋_GB2312"/>
          <w:color w:val="auto"/>
          <w:sz w:val="32"/>
          <w:szCs w:val="32"/>
        </w:rPr>
        <w:t>2019年12月，柳州市累计商标有效注册量</w:t>
      </w:r>
      <w:r>
        <w:rPr>
          <w:rFonts w:hint="eastAsia" w:ascii="仿宋" w:hAnsi="仿宋" w:eastAsia="仿宋" w:cs="仿宋"/>
          <w:color w:val="auto"/>
          <w:sz w:val="30"/>
          <w:szCs w:val="30"/>
          <w:lang w:val="en-US" w:eastAsia="zh-CN"/>
        </w:rPr>
        <w:t>20938</w:t>
      </w:r>
      <w:r>
        <w:rPr>
          <w:rFonts w:hint="eastAsia" w:ascii="仿宋_GB2312" w:eastAsia="仿宋_GB2312"/>
          <w:color w:val="auto"/>
          <w:sz w:val="32"/>
          <w:szCs w:val="32"/>
        </w:rPr>
        <w:t>件，</w:t>
      </w:r>
      <w:r>
        <w:rPr>
          <w:rFonts w:hint="eastAsia" w:ascii="仿宋_GB2312" w:eastAsia="仿宋_GB2312"/>
          <w:color w:val="auto"/>
          <w:sz w:val="32"/>
          <w:szCs w:val="32"/>
          <w:lang w:eastAsia="zh-CN"/>
        </w:rPr>
        <w:t>首次突破</w:t>
      </w:r>
      <w:r>
        <w:rPr>
          <w:rFonts w:hint="eastAsia" w:ascii="仿宋_GB2312" w:eastAsia="仿宋_GB2312"/>
          <w:color w:val="auto"/>
          <w:sz w:val="32"/>
          <w:szCs w:val="32"/>
          <w:lang w:val="en-US" w:eastAsia="zh-CN"/>
        </w:rPr>
        <w:t>2万件大关，稳居全区前三名，</w:t>
      </w:r>
      <w:r>
        <w:rPr>
          <w:rFonts w:hint="eastAsia" w:ascii="仿宋_GB2312" w:eastAsia="仿宋_GB2312"/>
          <w:color w:val="auto"/>
          <w:sz w:val="32"/>
          <w:szCs w:val="32"/>
        </w:rPr>
        <w:t>连续</w:t>
      </w:r>
      <w:r>
        <w:rPr>
          <w:rFonts w:hint="eastAsia" w:ascii="仿宋_GB2312" w:eastAsia="仿宋_GB2312"/>
          <w:color w:val="auto"/>
          <w:sz w:val="32"/>
          <w:szCs w:val="32"/>
          <w:lang w:eastAsia="zh-CN"/>
        </w:rPr>
        <w:t>五</w:t>
      </w:r>
      <w:r>
        <w:rPr>
          <w:rFonts w:hint="eastAsia" w:ascii="仿宋_GB2312" w:eastAsia="仿宋_GB2312"/>
          <w:color w:val="auto"/>
          <w:sz w:val="32"/>
          <w:szCs w:val="32"/>
        </w:rPr>
        <w:t>年保持</w:t>
      </w:r>
      <w:r>
        <w:rPr>
          <w:rFonts w:ascii="仿宋_GB2312" w:eastAsia="仿宋_GB2312"/>
          <w:color w:val="auto"/>
          <w:sz w:val="32"/>
          <w:szCs w:val="32"/>
        </w:rPr>
        <w:t>25</w:t>
      </w:r>
      <w:r>
        <w:rPr>
          <w:rFonts w:hint="eastAsia" w:ascii="仿宋_GB2312" w:eastAsia="仿宋_GB2312"/>
          <w:color w:val="auto"/>
          <w:sz w:val="32"/>
          <w:szCs w:val="32"/>
        </w:rPr>
        <w:t>%以上的增幅，涌现出“柳工”、“五菱”、“宝骏”、</w:t>
      </w:r>
      <w:r>
        <w:rPr>
          <w:rFonts w:hint="eastAsia" w:ascii="仿宋_GB2312" w:eastAsia="仿宋_GB2312"/>
          <w:color w:val="auto"/>
          <w:sz w:val="32"/>
          <w:szCs w:val="32"/>
          <w:lang w:eastAsia="zh-CN"/>
        </w:rPr>
        <w:t>“柳工”、</w:t>
      </w:r>
      <w:r>
        <w:rPr>
          <w:rFonts w:hint="eastAsia" w:ascii="仿宋_GB2312" w:eastAsia="仿宋_GB2312"/>
          <w:color w:val="auto"/>
          <w:sz w:val="32"/>
          <w:szCs w:val="32"/>
        </w:rPr>
        <w:t>“金嗓子”、“花红”等一批具有较高知名度的商标，成为柳州市工业经济高质量发展的中坚力量</w:t>
      </w:r>
      <w:r>
        <w:rPr>
          <w:rFonts w:hint="eastAsia" w:ascii="仿宋_GB2312" w:eastAsia="仿宋_GB2312"/>
          <w:color w:val="auto"/>
          <w:sz w:val="32"/>
          <w:szCs w:val="32"/>
          <w:lang w:eastAsia="zh-CN"/>
        </w:rPr>
        <w:t>。自</w:t>
      </w:r>
      <w:r>
        <w:rPr>
          <w:rFonts w:hint="eastAsia" w:ascii="仿宋_GB2312" w:eastAsia="仿宋_GB2312"/>
          <w:color w:val="auto"/>
          <w:sz w:val="32"/>
          <w:szCs w:val="32"/>
          <w:lang w:val="en-US" w:eastAsia="zh-CN"/>
        </w:rPr>
        <w:t>2016年以来，我局创造性的开展商标质押融资改革，</w:t>
      </w:r>
      <w:r>
        <w:rPr>
          <w:rFonts w:hint="eastAsia" w:ascii="仿宋_GB2312" w:eastAsia="仿宋_GB2312"/>
          <w:color w:val="auto"/>
          <w:sz w:val="32"/>
          <w:szCs w:val="32"/>
        </w:rPr>
        <w:t>共为企业办理商标质权登记业务45笔，企业获得贷款总金额</w:t>
      </w:r>
      <w:r>
        <w:rPr>
          <w:rFonts w:hint="eastAsia" w:ascii="仿宋_GB2312" w:eastAsia="仿宋_GB2312"/>
          <w:color w:val="auto"/>
          <w:sz w:val="32"/>
          <w:szCs w:val="32"/>
          <w:lang w:val="en-US" w:eastAsia="zh-CN"/>
        </w:rPr>
        <w:t>57</w:t>
      </w:r>
      <w:r>
        <w:rPr>
          <w:rFonts w:hint="eastAsia" w:ascii="仿宋_GB2312" w:eastAsia="仿宋_GB2312"/>
          <w:color w:val="auto"/>
          <w:sz w:val="32"/>
          <w:szCs w:val="32"/>
        </w:rPr>
        <w:t>亿元，分别占全广西</w:t>
      </w:r>
      <w:r>
        <w:rPr>
          <w:rFonts w:hint="eastAsia" w:ascii="仿宋_GB2312" w:eastAsia="仿宋_GB2312"/>
          <w:color w:val="auto"/>
          <w:sz w:val="32"/>
          <w:szCs w:val="32"/>
          <w:lang w:eastAsia="zh-CN"/>
        </w:rPr>
        <w:t>总</w:t>
      </w:r>
      <w:r>
        <w:rPr>
          <w:rFonts w:hint="eastAsia" w:ascii="仿宋_GB2312" w:eastAsia="仿宋_GB2312"/>
          <w:color w:val="auto"/>
          <w:sz w:val="32"/>
          <w:szCs w:val="32"/>
        </w:rPr>
        <w:t>数的86%</w:t>
      </w:r>
      <w:r>
        <w:rPr>
          <w:rFonts w:hint="eastAsia" w:ascii="仿宋_GB2312" w:eastAsia="仿宋_GB2312"/>
          <w:color w:val="auto"/>
          <w:sz w:val="32"/>
          <w:szCs w:val="32"/>
          <w:lang w:eastAsia="zh-CN"/>
        </w:rPr>
        <w:t>和</w:t>
      </w:r>
      <w:r>
        <w:rPr>
          <w:rFonts w:hint="eastAsia" w:ascii="仿宋_GB2312" w:eastAsia="仿宋_GB2312"/>
          <w:color w:val="auto"/>
          <w:sz w:val="32"/>
          <w:szCs w:val="32"/>
          <w:lang w:val="en-US" w:eastAsia="zh-CN"/>
        </w:rPr>
        <w:t>94</w:t>
      </w:r>
      <w:r>
        <w:rPr>
          <w:rFonts w:hint="eastAsia" w:ascii="仿宋_GB2312" w:eastAsia="仿宋_GB2312"/>
          <w:color w:val="auto"/>
          <w:sz w:val="32"/>
          <w:szCs w:val="32"/>
        </w:rPr>
        <w:t>%，</w:t>
      </w:r>
      <w:r>
        <w:rPr>
          <w:rFonts w:hint="eastAsia" w:ascii="仿宋_GB2312" w:eastAsia="仿宋_GB2312"/>
          <w:color w:val="auto"/>
          <w:sz w:val="32"/>
          <w:szCs w:val="32"/>
          <w:lang w:eastAsia="zh-CN"/>
        </w:rPr>
        <w:t>在全国</w:t>
      </w:r>
      <w:r>
        <w:rPr>
          <w:rFonts w:hint="eastAsia" w:ascii="仿宋_GB2312" w:eastAsia="仿宋_GB2312"/>
          <w:color w:val="auto"/>
          <w:sz w:val="32"/>
          <w:szCs w:val="32"/>
          <w:lang w:val="en-US" w:eastAsia="zh-CN"/>
        </w:rPr>
        <w:t>96个试点窗口商标质押综合业务排名第十，</w:t>
      </w:r>
      <w:r>
        <w:rPr>
          <w:rFonts w:hint="eastAsia" w:ascii="仿宋_GB2312" w:eastAsia="仿宋_GB2312"/>
          <w:color w:val="auto"/>
          <w:sz w:val="32"/>
          <w:szCs w:val="32"/>
        </w:rPr>
        <w:t>商标质押融资改革的“柳州模式”，得到了自治区市场监管局、国家知识产权局相关领导的充分肯定；</w:t>
      </w:r>
      <w:r>
        <w:rPr>
          <w:rFonts w:hint="eastAsia" w:ascii="仿宋" w:hAnsi="仿宋" w:eastAsia="仿宋" w:cs="仿宋"/>
          <w:color w:val="auto"/>
          <w:sz w:val="32"/>
          <w:szCs w:val="32"/>
          <w:lang w:eastAsia="zh-CN"/>
        </w:rPr>
        <w:t>修订完善《柳州市商标专用权质押贷款补助和风险补偿办法》，</w:t>
      </w:r>
      <w:r>
        <w:rPr>
          <w:rFonts w:hint="eastAsia" w:ascii="仿宋" w:hAnsi="仿宋" w:eastAsia="仿宋" w:cs="仿宋"/>
          <w:color w:val="auto"/>
          <w:sz w:val="32"/>
          <w:szCs w:val="32"/>
          <w:lang w:val="en-US" w:eastAsia="zh-CN"/>
        </w:rPr>
        <w:t>有效解决了中小企业融资难的问题</w:t>
      </w:r>
      <w:r>
        <w:rPr>
          <w:rFonts w:hint="eastAsia" w:ascii="仿宋" w:hAnsi="仿宋" w:eastAsia="仿宋" w:cs="仿宋"/>
          <w:color w:val="auto"/>
          <w:sz w:val="32"/>
          <w:szCs w:val="32"/>
          <w:lang w:eastAsia="zh-CN"/>
        </w:rPr>
        <w:t>；截至目前，</w:t>
      </w:r>
      <w:r>
        <w:rPr>
          <w:rFonts w:hint="eastAsia" w:ascii="仿宋" w:hAnsi="仿宋" w:eastAsia="仿宋" w:cs="仿宋"/>
          <w:color w:val="auto"/>
          <w:sz w:val="32"/>
          <w:szCs w:val="32"/>
        </w:rPr>
        <w:t>我市地理标志商标</w:t>
      </w:r>
      <w:r>
        <w:rPr>
          <w:rFonts w:hint="eastAsia" w:ascii="仿宋" w:hAnsi="仿宋" w:eastAsia="仿宋" w:cs="仿宋"/>
          <w:color w:val="auto"/>
          <w:sz w:val="32"/>
          <w:szCs w:val="32"/>
          <w:lang w:eastAsia="zh-CN"/>
        </w:rPr>
        <w:t>和地理标志保护产品分别</w:t>
      </w:r>
      <w:r>
        <w:rPr>
          <w:rFonts w:hint="eastAsia" w:ascii="仿宋" w:hAnsi="仿宋" w:eastAsia="仿宋" w:cs="仿宋"/>
          <w:color w:val="auto"/>
          <w:sz w:val="32"/>
          <w:szCs w:val="32"/>
        </w:rPr>
        <w:t>增长到</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lang w:val="en-US" w:eastAsia="zh-CN"/>
        </w:rPr>
        <w:t>8件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“融安金桔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成为全国首批14个地理标志促进运用项目</w:t>
      </w:r>
      <w:r>
        <w:rPr>
          <w:rFonts w:hint="eastAsia" w:ascii="仿宋" w:hAnsi="仿宋" w:eastAsia="仿宋" w:cs="仿宋"/>
          <w:color w:val="auto"/>
          <w:sz w:val="32"/>
          <w:szCs w:val="32"/>
          <w:lang w:eastAsia="zh-CN"/>
        </w:rPr>
        <w:t>，“柳州螺蛳粉”等</w:t>
      </w:r>
      <w:r>
        <w:rPr>
          <w:rFonts w:hint="eastAsia" w:ascii="仿宋" w:hAnsi="仿宋" w:eastAsia="仿宋" w:cs="仿宋"/>
          <w:color w:val="auto"/>
          <w:sz w:val="32"/>
          <w:szCs w:val="32"/>
          <w:lang w:val="en-US" w:eastAsia="zh-CN"/>
        </w:rPr>
        <w:t>5件</w:t>
      </w:r>
      <w:r>
        <w:rPr>
          <w:rFonts w:hint="eastAsia" w:ascii="仿宋" w:hAnsi="仿宋" w:eastAsia="仿宋" w:cs="仿宋"/>
          <w:color w:val="auto"/>
          <w:sz w:val="32"/>
          <w:szCs w:val="32"/>
          <w:lang w:eastAsia="zh-CN"/>
        </w:rPr>
        <w:t>地理标志产品保护完成国家申报，地理标志引领地方特色产业高质量发展的作用更加突出。商标知识产权“严保护、大保护、快保护、同保护”体制机制初步形成，商标侵权行政保护省（区）、市、县三级联动机制日趋完善，跨省联动保护积极有效，</w:t>
      </w:r>
      <w:r>
        <w:rPr>
          <w:rFonts w:hint="eastAsia" w:ascii="仿宋" w:hAnsi="仿宋" w:eastAsia="仿宋" w:cs="仿宋"/>
          <w:color w:val="auto"/>
          <w:sz w:val="32"/>
          <w:szCs w:val="32"/>
          <w:lang w:val="en-US" w:eastAsia="zh-CN"/>
        </w:rPr>
        <w:t>2017年我局被</w:t>
      </w:r>
      <w:r>
        <w:rPr>
          <w:rFonts w:hint="eastAsia" w:ascii="仿宋" w:hAnsi="仿宋" w:eastAsia="仿宋"/>
          <w:color w:val="auto"/>
          <w:sz w:val="32"/>
          <w:szCs w:val="32"/>
          <w:shd w:val="clear" w:color="auto" w:fill="FFFFFF"/>
          <w:lang w:eastAsia="zh-CN"/>
        </w:rPr>
        <w:t>评</w:t>
      </w:r>
      <w:r>
        <w:rPr>
          <w:rFonts w:hint="eastAsia" w:ascii="仿宋" w:hAnsi="仿宋" w:eastAsia="仿宋"/>
          <w:color w:val="auto"/>
          <w:sz w:val="32"/>
          <w:szCs w:val="32"/>
          <w:shd w:val="clear" w:color="auto" w:fill="FFFFFF"/>
        </w:rPr>
        <w:t>为“全国打击侵权假冒先进集体”。</w:t>
      </w:r>
    </w:p>
    <w:p w14:paraId="1E8B1FB6">
      <w:pPr>
        <w:pageBreakBefore w:val="0"/>
        <w:widowControl w:val="0"/>
        <w:numPr>
          <w:ilvl w:val="0"/>
          <w:numId w:val="0"/>
        </w:numPr>
        <w:kinsoku/>
        <w:wordWrap/>
        <w:overflowPunct/>
        <w:topLinePunct w:val="0"/>
        <w:autoSpaceDE/>
        <w:autoSpaceDN/>
        <w:bidi w:val="0"/>
        <w:spacing w:line="540" w:lineRule="exact"/>
        <w:ind w:left="0" w:leftChars="0" w:right="0" w:righ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注重推进标准化战略实施。截至</w:t>
      </w:r>
      <w:r>
        <w:rPr>
          <w:rFonts w:hint="eastAsia" w:ascii="仿宋" w:hAnsi="仿宋" w:eastAsia="仿宋" w:cs="仿宋"/>
          <w:b w:val="0"/>
          <w:bCs w:val="0"/>
          <w:color w:val="auto"/>
          <w:sz w:val="32"/>
          <w:szCs w:val="32"/>
          <w:lang w:val="en-US" w:eastAsia="zh-CN"/>
        </w:rPr>
        <w:t>2019</w:t>
      </w:r>
      <w:r>
        <w:rPr>
          <w:rFonts w:hint="eastAsia" w:ascii="仿宋" w:hAnsi="仿宋" w:eastAsia="仿宋" w:cs="仿宋"/>
          <w:b w:val="0"/>
          <w:bCs w:val="0"/>
          <w:color w:val="auto"/>
          <w:sz w:val="32"/>
          <w:szCs w:val="32"/>
          <w:lang w:eastAsia="zh-CN"/>
        </w:rPr>
        <w:t>年共发布国家标准、行业标准、地方标准和团体标准43个，自我声明公开标准381项，居全区第二；柳工制订的《极地工况工程机械带负载冷起动试验方法》团体标准填补了国家和行业空白，并入选工信部全国“百项团体标准应用示范项目”；三江县国家稻田养鱼标准化示范区通过验收，“三江模式”在全国推广；创新开展全国“百城千业万企对标达标提升专项行动”，达标结果居全国第一，对标产品居全区第一</w:t>
      </w:r>
      <w:r>
        <w:rPr>
          <w:rFonts w:hint="eastAsia" w:ascii="仿宋" w:hAnsi="仿宋" w:eastAsia="仿宋" w:cs="仿宋"/>
          <w:b w:val="0"/>
          <w:bCs w:val="0"/>
          <w:color w:val="auto"/>
          <w:sz w:val="32"/>
          <w:szCs w:val="32"/>
          <w:lang w:val="en-US" w:eastAsia="zh-CN"/>
        </w:rPr>
        <w:t>。 “十三五”规划实施以来，</w:t>
      </w:r>
      <w:r>
        <w:rPr>
          <w:rFonts w:hint="eastAsia" w:ascii="仿宋" w:hAnsi="仿宋" w:eastAsia="仿宋" w:cs="仿宋"/>
          <w:b w:val="0"/>
          <w:bCs w:val="0"/>
          <w:color w:val="auto"/>
          <w:sz w:val="32"/>
          <w:szCs w:val="32"/>
          <w:lang w:eastAsia="zh-CN"/>
        </w:rPr>
        <w:t>新增国家标准和行业标准12</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eastAsia="zh-CN"/>
        </w:rPr>
        <w:t>项、地方标准51项、团体标准41项、</w:t>
      </w:r>
      <w:r>
        <w:rPr>
          <w:rFonts w:hint="eastAsia" w:ascii="仿宋" w:hAnsi="仿宋" w:eastAsia="仿宋" w:cs="仿宋"/>
          <w:b w:val="0"/>
          <w:bCs w:val="0"/>
          <w:color w:val="auto"/>
          <w:sz w:val="32"/>
          <w:szCs w:val="32"/>
          <w:lang w:val="en-US" w:eastAsia="zh-CN"/>
        </w:rPr>
        <w:t>自我声明</w:t>
      </w:r>
      <w:r>
        <w:rPr>
          <w:rFonts w:hint="eastAsia" w:ascii="仿宋" w:hAnsi="仿宋" w:eastAsia="仿宋" w:cs="仿宋"/>
          <w:b w:val="0"/>
          <w:bCs w:val="0"/>
          <w:color w:val="auto"/>
          <w:sz w:val="32"/>
          <w:szCs w:val="32"/>
          <w:lang w:eastAsia="zh-CN"/>
        </w:rPr>
        <w:t>公开标准2317项，提前完成《柳州市深化标准化工作改革实施方案》2020年各项目标任务，完成率240%、170%、410%、386%</w:t>
      </w:r>
      <w:r>
        <w:rPr>
          <w:rFonts w:hint="eastAsia" w:ascii="仿宋" w:hAnsi="仿宋" w:eastAsia="仿宋" w:cs="仿宋"/>
          <w:b w:val="0"/>
          <w:bCs w:val="0"/>
          <w:color w:val="auto"/>
          <w:sz w:val="32"/>
          <w:szCs w:val="32"/>
          <w:lang w:val="en-US" w:eastAsia="zh-CN"/>
        </w:rPr>
        <w:t xml:space="preserve">。  </w:t>
      </w:r>
    </w:p>
    <w:p w14:paraId="4125ED7C">
      <w:pPr>
        <w:pageBreakBefore w:val="0"/>
        <w:numPr>
          <w:ilvl w:val="0"/>
          <w:numId w:val="0"/>
        </w:numPr>
        <w:kinsoku/>
        <w:wordWrap/>
        <w:overflowPunct/>
        <w:topLinePunct w:val="0"/>
        <w:autoSpaceDE/>
        <w:autoSpaceDN/>
        <w:bidi w:val="0"/>
        <w:spacing w:line="540" w:lineRule="exact"/>
        <w:ind w:left="0" w:leftChars="0" w:right="0" w:rightChars="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4.</w:t>
      </w:r>
      <w:r>
        <w:rPr>
          <w:rFonts w:hint="eastAsia" w:ascii="仿宋_GB2312" w:hAnsi="仿宋_GB2312" w:eastAsia="仿宋_GB2312" w:cs="仿宋_GB2312"/>
          <w:b/>
          <w:bCs/>
          <w:color w:val="auto"/>
          <w:sz w:val="32"/>
          <w:szCs w:val="32"/>
        </w:rPr>
        <w:t>扎实推进知识产权保护战略。</w:t>
      </w:r>
      <w:r>
        <w:rPr>
          <w:rFonts w:hint="eastAsia" w:ascii="仿宋_GB2312" w:hAnsi="仿宋_GB2312" w:eastAsia="仿宋_GB2312" w:cs="仿宋_GB2312"/>
          <w:color w:val="auto"/>
          <w:sz w:val="32"/>
          <w:szCs w:val="32"/>
        </w:rPr>
        <w:t>积极推进全国知识产权试点城市和国家知识产权示范园区建设；柳工平地机、上通五汽车专利项目荣获第21届中国外观设计优秀奖；6项专利获得第九届广西发明创造成果交易会金奖；新增7家国家知识产权优势企业，柳州市景行小学获第四批全国中小学知识产权教育试点学校；全市每万人口发明专利拥有量达到9.84件，居全区前茅；全市新增《企业知识产权管理规范》国家标准认证企业407家，居全区第一；新增广西知识产权优势企业培育单位10家，居全区第二；柳州市知识产权局荣获2018年全国知识产权系统人才工作先进集体。</w:t>
      </w:r>
    </w:p>
    <w:p w14:paraId="39D18BF4">
      <w:pPr>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rPr>
          <w:rFonts w:hint="eastAsia"/>
          <w:color w:val="auto"/>
        </w:rPr>
      </w:pPr>
      <w:r>
        <w:rPr>
          <w:rFonts w:hint="eastAsia" w:ascii="仿宋_GB2312" w:hAnsi="仿宋_GB2312" w:eastAsia="仿宋_GB2312" w:cs="仿宋_GB2312"/>
          <w:b/>
          <w:bCs/>
          <w:color w:val="auto"/>
          <w:sz w:val="32"/>
          <w:szCs w:val="32"/>
          <w:lang w:val="en-US" w:eastAsia="zh-CN"/>
        </w:rPr>
        <w:t>5.强化计量基础支撑作用。</w:t>
      </w:r>
      <w:r>
        <w:rPr>
          <w:rFonts w:hint="eastAsia" w:ascii="仿宋_GB2312" w:hAnsi="仿宋_GB2312" w:eastAsia="仿宋_GB2312" w:cs="仿宋_GB2312"/>
          <w:b w:val="0"/>
          <w:bCs w:val="0"/>
          <w:color w:val="auto"/>
          <w:kern w:val="0"/>
          <w:sz w:val="32"/>
          <w:szCs w:val="32"/>
        </w:rPr>
        <w:t>全面贯彻落实国务院《计量发展规划（2013-2020年）》</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社会公用计量标准日益完善，新增柳州最高等级社会公用计量标准22项，累计建立128项，较“十二五”期末增长20%；全市国家法定计量检定机构检定能力较“十二五”期末提升13.8 %，超额完成全区到十三五期末提升10%的目标；开展计量检测及量值溯源方法研究1项，为重点产业发展提供计量技术支撑。加强对重点领域计量器具及计量行为的监管，有针对性地开展民生计量热点整治，全面推行“双随机、一公开”监管机制，共组织开展了农产品收购汽车衡、加油机等近50项次计量专项监督检查，其中市内定量包装商品总体净含量抽查合格率达94.9%。建立各部门计量联合监管机制，与市卫计委、交通等部门分别联合开展医疗机构强制检定计量器具专项检查、出租车“乱象”整治等专项治理，齐抓共管重点领域重点行业，取得良好社会效应。大力实施“强制检定工作计量器具业务管理系统”网上申报制度，实现强制检定计量器具动态监管。强制检定计量器具18.59万台件，受检率98%。坚持落实惠民政策，免收强制检定费用2563万元。</w:t>
      </w:r>
    </w:p>
    <w:p w14:paraId="09CB0084">
      <w:pPr>
        <w:keepNext w:val="0"/>
        <w:keepLines w:val="0"/>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（三）强化事中事后监管，维护市场秩序稳定取得新进展。</w:t>
      </w:r>
    </w:p>
    <w:p w14:paraId="289D36FF">
      <w:pPr>
        <w:keepNext w:val="0"/>
        <w:keepLines w:val="0"/>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rPr>
          <w:rFonts w:hint="eastAsia" w:ascii="仿宋" w:hAnsi="仿宋" w:eastAsia="仿宋" w:cs="仿宋"/>
          <w:b w:val="0"/>
          <w:bCs/>
          <w:color w:val="auto"/>
          <w:kern w:val="0"/>
          <w:sz w:val="32"/>
          <w:szCs w:val="32"/>
          <w:lang w:bidi="ar"/>
        </w:rPr>
      </w:pPr>
      <w:r>
        <w:rPr>
          <w:rFonts w:hint="eastAsia" w:ascii="仿宋" w:hAnsi="仿宋" w:eastAsia="仿宋" w:cs="仿宋"/>
          <w:b/>
          <w:bCs w:val="0"/>
          <w:color w:val="auto"/>
          <w:kern w:val="0"/>
          <w:sz w:val="32"/>
          <w:szCs w:val="32"/>
          <w:lang w:val="en-US" w:eastAsia="zh-CN" w:bidi="ar"/>
        </w:rPr>
        <w:t>1.</w:t>
      </w:r>
      <w:r>
        <w:rPr>
          <w:rFonts w:hint="eastAsia" w:ascii="仿宋" w:hAnsi="仿宋" w:eastAsia="仿宋" w:cs="仿宋"/>
          <w:b/>
          <w:bCs w:val="0"/>
          <w:color w:val="auto"/>
          <w:kern w:val="0"/>
          <w:sz w:val="32"/>
          <w:szCs w:val="32"/>
          <w:lang w:eastAsia="zh-CN" w:bidi="ar"/>
        </w:rPr>
        <w:t>强化</w:t>
      </w:r>
      <w:r>
        <w:rPr>
          <w:rFonts w:hint="eastAsia" w:ascii="仿宋" w:hAnsi="仿宋" w:eastAsia="仿宋" w:cs="仿宋"/>
          <w:b/>
          <w:bCs w:val="0"/>
          <w:color w:val="auto"/>
          <w:kern w:val="0"/>
          <w:sz w:val="32"/>
          <w:szCs w:val="32"/>
          <w:lang w:bidi="ar"/>
        </w:rPr>
        <w:t>“双随机、一公开”监管</w:t>
      </w:r>
      <w:r>
        <w:rPr>
          <w:rFonts w:hint="eastAsia" w:ascii="仿宋" w:hAnsi="仿宋" w:eastAsia="仿宋" w:cs="仿宋"/>
          <w:b/>
          <w:bCs w:val="0"/>
          <w:color w:val="auto"/>
          <w:kern w:val="0"/>
          <w:sz w:val="32"/>
          <w:szCs w:val="32"/>
          <w:lang w:eastAsia="zh-CN" w:bidi="ar"/>
        </w:rPr>
        <w:t>。</w:t>
      </w:r>
      <w:r>
        <w:rPr>
          <w:rFonts w:hint="eastAsia" w:ascii="仿宋" w:hAnsi="仿宋" w:eastAsia="仿宋" w:cs="仿宋"/>
          <w:b w:val="0"/>
          <w:bCs/>
          <w:color w:val="auto"/>
          <w:kern w:val="0"/>
          <w:sz w:val="32"/>
          <w:szCs w:val="32"/>
          <w:lang w:eastAsia="zh-CN" w:bidi="ar"/>
        </w:rPr>
        <w:t>积极探索市场监管新模式，全面推行部门联合“双随机、一公开”监管模式，完善</w:t>
      </w:r>
      <w:r>
        <w:rPr>
          <w:rFonts w:hint="eastAsia" w:ascii="仿宋" w:hAnsi="仿宋" w:eastAsia="仿宋" w:cs="仿宋"/>
          <w:b w:val="0"/>
          <w:bCs/>
          <w:color w:val="auto"/>
          <w:kern w:val="0"/>
          <w:sz w:val="32"/>
          <w:szCs w:val="32"/>
          <w:lang w:bidi="ar"/>
        </w:rPr>
        <w:t>随机抽查事项清单</w:t>
      </w:r>
      <w:r>
        <w:rPr>
          <w:rFonts w:hint="eastAsia" w:ascii="仿宋" w:hAnsi="仿宋" w:eastAsia="仿宋" w:cs="仿宋"/>
          <w:b w:val="0"/>
          <w:bCs/>
          <w:color w:val="auto"/>
          <w:kern w:val="0"/>
          <w:sz w:val="32"/>
          <w:szCs w:val="32"/>
          <w:lang w:eastAsia="zh-CN" w:bidi="ar"/>
        </w:rPr>
        <w:t>以及</w:t>
      </w:r>
      <w:r>
        <w:rPr>
          <w:rFonts w:hint="eastAsia" w:ascii="仿宋" w:hAnsi="仿宋" w:eastAsia="仿宋" w:cs="仿宋"/>
          <w:b w:val="0"/>
          <w:bCs/>
          <w:color w:val="auto"/>
          <w:kern w:val="0"/>
          <w:sz w:val="32"/>
          <w:szCs w:val="32"/>
          <w:lang w:bidi="ar"/>
        </w:rPr>
        <w:t>市场主体名录库和执法人员名录库</w:t>
      </w:r>
      <w:r>
        <w:rPr>
          <w:rFonts w:hint="eastAsia" w:ascii="仿宋" w:hAnsi="仿宋" w:eastAsia="仿宋" w:cs="仿宋"/>
          <w:b w:val="0"/>
          <w:bCs/>
          <w:color w:val="auto"/>
          <w:kern w:val="0"/>
          <w:sz w:val="32"/>
          <w:szCs w:val="32"/>
          <w:lang w:eastAsia="zh-CN" w:bidi="ar"/>
        </w:rPr>
        <w:t>，共检查市场主体1.13万户，全面完成自治区要求的“双随机”5%覆盖率的目标，进一步提升了履职能力和监管水平</w:t>
      </w:r>
      <w:r>
        <w:rPr>
          <w:rFonts w:hint="eastAsia" w:ascii="仿宋" w:hAnsi="仿宋" w:eastAsia="仿宋" w:cs="仿宋"/>
          <w:b w:val="0"/>
          <w:bCs/>
          <w:color w:val="auto"/>
          <w:kern w:val="0"/>
          <w:sz w:val="32"/>
          <w:szCs w:val="32"/>
          <w:lang w:bidi="ar"/>
        </w:rPr>
        <w:t>。</w:t>
      </w:r>
    </w:p>
    <w:p w14:paraId="2C1A4186">
      <w:pPr>
        <w:keepNext w:val="0"/>
        <w:keepLines w:val="0"/>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rPr>
          <w:rFonts w:hint="eastAsia" w:ascii="仿宋_GB2312" w:eastAsia="仿宋_GB2312"/>
          <w:color w:val="auto"/>
          <w:sz w:val="32"/>
          <w:szCs w:val="32"/>
          <w:shd w:val="clear" w:color="auto" w:fill="FFFFFF"/>
          <w:lang w:eastAsia="zh-CN"/>
        </w:rPr>
      </w:pPr>
      <w:r>
        <w:rPr>
          <w:rFonts w:hint="eastAsia" w:ascii="仿宋" w:hAnsi="仿宋" w:eastAsia="仿宋" w:cs="仿宋"/>
          <w:b/>
          <w:bCs w:val="0"/>
          <w:color w:val="auto"/>
          <w:kern w:val="0"/>
          <w:sz w:val="32"/>
          <w:szCs w:val="32"/>
          <w:lang w:val="en-US" w:eastAsia="zh-CN" w:bidi="ar"/>
        </w:rPr>
        <w:t>2.</w:t>
      </w:r>
      <w:r>
        <w:rPr>
          <w:rFonts w:hint="eastAsia" w:ascii="仿宋" w:hAnsi="仿宋" w:eastAsia="仿宋" w:cs="仿宋"/>
          <w:b/>
          <w:bCs w:val="0"/>
          <w:color w:val="auto"/>
          <w:kern w:val="0"/>
          <w:sz w:val="32"/>
          <w:szCs w:val="32"/>
          <w:lang w:bidi="ar"/>
        </w:rPr>
        <w:t>构建</w:t>
      </w:r>
      <w:r>
        <w:rPr>
          <w:rFonts w:hint="eastAsia" w:ascii="仿宋" w:hAnsi="仿宋" w:eastAsia="仿宋" w:cs="仿宋"/>
          <w:b/>
          <w:bCs w:val="0"/>
          <w:color w:val="auto"/>
          <w:kern w:val="0"/>
          <w:sz w:val="32"/>
          <w:szCs w:val="32"/>
          <w:lang w:eastAsia="zh-CN" w:bidi="ar"/>
        </w:rPr>
        <w:t>完善</w:t>
      </w:r>
      <w:r>
        <w:rPr>
          <w:rFonts w:hint="eastAsia" w:ascii="仿宋" w:hAnsi="仿宋" w:eastAsia="仿宋" w:cs="仿宋"/>
          <w:b/>
          <w:bCs w:val="0"/>
          <w:color w:val="auto"/>
          <w:kern w:val="0"/>
          <w:sz w:val="32"/>
          <w:szCs w:val="32"/>
          <w:lang w:bidi="ar"/>
        </w:rPr>
        <w:t>市场信用监管体系。</w:t>
      </w:r>
      <w:r>
        <w:rPr>
          <w:rFonts w:hint="eastAsia" w:ascii="仿宋" w:hAnsi="仿宋" w:eastAsia="仿宋" w:cs="仿宋"/>
          <w:b w:val="0"/>
          <w:bCs/>
          <w:color w:val="auto"/>
          <w:kern w:val="0"/>
          <w:sz w:val="32"/>
          <w:szCs w:val="32"/>
          <w:lang w:bidi="ar"/>
        </w:rPr>
        <w:t>加强涉企信息统一归集</w:t>
      </w:r>
      <w:r>
        <w:rPr>
          <w:rFonts w:hint="eastAsia" w:ascii="仿宋" w:hAnsi="仿宋" w:eastAsia="仿宋" w:cs="仿宋"/>
          <w:b w:val="0"/>
          <w:bCs/>
          <w:color w:val="auto"/>
          <w:kern w:val="0"/>
          <w:sz w:val="32"/>
          <w:szCs w:val="32"/>
          <w:lang w:eastAsia="zh-CN" w:bidi="ar"/>
        </w:rPr>
        <w:t>和企业年报公示</w:t>
      </w:r>
      <w:r>
        <w:rPr>
          <w:rFonts w:hint="eastAsia" w:ascii="仿宋" w:hAnsi="仿宋" w:eastAsia="仿宋" w:cs="仿宋"/>
          <w:b w:val="0"/>
          <w:bCs/>
          <w:color w:val="auto"/>
          <w:kern w:val="0"/>
          <w:sz w:val="32"/>
          <w:szCs w:val="32"/>
          <w:lang w:bidi="ar"/>
        </w:rPr>
        <w:t>，</w:t>
      </w:r>
      <w:r>
        <w:rPr>
          <w:rFonts w:hint="eastAsia" w:ascii="仿宋" w:hAnsi="仿宋" w:eastAsia="仿宋" w:cs="仿宋"/>
          <w:b w:val="0"/>
          <w:bCs/>
          <w:color w:val="auto"/>
          <w:kern w:val="0"/>
          <w:sz w:val="32"/>
          <w:szCs w:val="32"/>
          <w:lang w:eastAsia="zh-CN" w:bidi="ar"/>
        </w:rPr>
        <w:t>积极协调</w:t>
      </w:r>
      <w:r>
        <w:rPr>
          <w:rFonts w:hint="eastAsia" w:ascii="仿宋" w:hAnsi="仿宋" w:eastAsia="仿宋" w:cs="仿宋"/>
          <w:b w:val="0"/>
          <w:bCs/>
          <w:color w:val="auto"/>
          <w:sz w:val="32"/>
          <w:szCs w:val="32"/>
          <w:lang w:eastAsia="zh-CN"/>
        </w:rPr>
        <w:t>部门实施联合信用</w:t>
      </w:r>
      <w:r>
        <w:rPr>
          <w:rFonts w:hint="eastAsia" w:ascii="仿宋" w:hAnsi="仿宋" w:eastAsia="仿宋" w:cs="仿宋"/>
          <w:b w:val="0"/>
          <w:bCs/>
          <w:color w:val="auto"/>
          <w:sz w:val="32"/>
          <w:szCs w:val="32"/>
        </w:rPr>
        <w:t>惩戒，</w:t>
      </w:r>
      <w:r>
        <w:rPr>
          <w:rFonts w:hint="eastAsia" w:ascii="仿宋" w:hAnsi="仿宋" w:eastAsia="仿宋" w:cs="仿宋"/>
          <w:b w:val="0"/>
          <w:bCs/>
          <w:color w:val="auto"/>
          <w:sz w:val="32"/>
          <w:szCs w:val="32"/>
          <w:lang w:eastAsia="zh-CN"/>
        </w:rPr>
        <w:t>形成了</w:t>
      </w:r>
      <w:r>
        <w:rPr>
          <w:rFonts w:hint="eastAsia" w:ascii="仿宋" w:hAnsi="仿宋" w:eastAsia="仿宋" w:cs="仿宋"/>
          <w:b w:val="0"/>
          <w:bCs/>
          <w:color w:val="auto"/>
          <w:sz w:val="32"/>
          <w:szCs w:val="32"/>
        </w:rPr>
        <w:t>“一处失信、处处受限”的信用惩戒格局</w:t>
      </w:r>
      <w:r>
        <w:rPr>
          <w:rFonts w:hint="eastAsia" w:ascii="仿宋" w:hAnsi="仿宋" w:eastAsia="仿宋" w:cs="仿宋"/>
          <w:b w:val="0"/>
          <w:bCs/>
          <w:color w:val="auto"/>
          <w:sz w:val="32"/>
          <w:szCs w:val="32"/>
          <w:lang w:eastAsia="zh-CN"/>
        </w:rPr>
        <w:t>；截至</w:t>
      </w:r>
      <w:r>
        <w:rPr>
          <w:rFonts w:hint="eastAsia" w:ascii="仿宋_GB2312" w:hAnsi="仿宋_GB2312" w:eastAsia="仿宋_GB2312" w:cs="仿宋_GB2312"/>
          <w:color w:val="auto"/>
          <w:spacing w:val="-10"/>
          <w:kern w:val="32"/>
          <w:sz w:val="32"/>
          <w:szCs w:val="32"/>
          <w:lang w:val="en-US" w:eastAsia="zh-CN"/>
        </w:rPr>
        <w:t>2019年</w:t>
      </w:r>
      <w:r>
        <w:rPr>
          <w:rFonts w:hint="eastAsia" w:ascii="仿宋_GB2312" w:hAnsi="仿宋_GB2312" w:eastAsia="仿宋_GB2312" w:cs="仿宋_GB2312"/>
          <w:color w:val="auto"/>
          <w:spacing w:val="-10"/>
          <w:kern w:val="32"/>
          <w:sz w:val="32"/>
          <w:szCs w:val="32"/>
        </w:rPr>
        <w:t>，市本级共32个行政单位归集行政许可18527条，行政处罚6888条，抽查检查结果10984条，双随机检查1796条；各县、区共归集行政许可44490条，行政处罚15322条，抽查检查结果32236条，双随机检查10324条。</w:t>
      </w:r>
      <w:r>
        <w:rPr>
          <w:rFonts w:hint="eastAsia" w:ascii="仿宋_GB2312" w:hAnsi="仿宋_GB2312" w:eastAsia="仿宋_GB2312" w:cs="仿宋_GB2312"/>
          <w:color w:val="auto"/>
          <w:spacing w:val="-10"/>
          <w:kern w:val="32"/>
          <w:sz w:val="32"/>
          <w:szCs w:val="32"/>
          <w:lang w:eastAsia="zh-CN"/>
        </w:rPr>
        <w:t>同时，</w:t>
      </w:r>
      <w:r>
        <w:rPr>
          <w:rFonts w:ascii="仿宋_GB2312" w:hAnsi="Times New Roman" w:eastAsia="仿宋_GB2312"/>
          <w:color w:val="auto"/>
          <w:sz w:val="32"/>
          <w:szCs w:val="32"/>
        </w:rPr>
        <w:t>已</w:t>
      </w:r>
      <w:r>
        <w:rPr>
          <w:rFonts w:hint="eastAsia" w:ascii="仿宋_GB2312" w:eastAsia="仿宋_GB2312"/>
          <w:color w:val="auto"/>
          <w:sz w:val="32"/>
          <w:szCs w:val="32"/>
          <w:shd w:val="clear" w:color="auto" w:fill="FFFFFF"/>
        </w:rPr>
        <w:t>汇总编制了柳州市政府部门涉企信息归集资源目录第二版征求意见</w:t>
      </w:r>
      <w:r>
        <w:rPr>
          <w:rFonts w:ascii="仿宋_GB2312" w:eastAsia="仿宋_GB2312"/>
          <w:color w:val="auto"/>
          <w:sz w:val="32"/>
          <w:szCs w:val="32"/>
          <w:shd w:val="clear" w:color="auto" w:fill="FFFFFF"/>
        </w:rPr>
        <w:t>稿</w:t>
      </w:r>
      <w:r>
        <w:rPr>
          <w:rFonts w:hint="eastAsia" w:ascii="仿宋_GB2312" w:eastAsia="仿宋_GB2312"/>
          <w:color w:val="auto"/>
          <w:sz w:val="32"/>
          <w:szCs w:val="32"/>
          <w:shd w:val="clear" w:color="auto" w:fill="FFFFFF"/>
        </w:rPr>
        <w:t>，涵盖</w:t>
      </w:r>
      <w:r>
        <w:rPr>
          <w:rFonts w:ascii="仿宋_GB2312" w:eastAsia="仿宋_GB2312"/>
          <w:color w:val="auto"/>
          <w:sz w:val="32"/>
          <w:szCs w:val="32"/>
          <w:shd w:val="clear" w:color="auto" w:fill="FFFFFF"/>
        </w:rPr>
        <w:t>28</w:t>
      </w:r>
      <w:r>
        <w:rPr>
          <w:rFonts w:hint="eastAsia" w:ascii="仿宋_GB2312" w:eastAsia="仿宋_GB2312"/>
          <w:color w:val="auto"/>
          <w:sz w:val="32"/>
          <w:szCs w:val="32"/>
          <w:shd w:val="clear" w:color="auto" w:fill="FFFFFF"/>
        </w:rPr>
        <w:t>个部门行政许可目录</w:t>
      </w:r>
      <w:r>
        <w:rPr>
          <w:rFonts w:ascii="仿宋_GB2312" w:eastAsia="仿宋_GB2312"/>
          <w:color w:val="auto"/>
          <w:sz w:val="32"/>
          <w:szCs w:val="32"/>
          <w:shd w:val="clear" w:color="auto" w:fill="FFFFFF"/>
        </w:rPr>
        <w:t>320</w:t>
      </w:r>
      <w:r>
        <w:rPr>
          <w:rFonts w:hint="eastAsia" w:ascii="仿宋_GB2312" w:eastAsia="仿宋_GB2312"/>
          <w:color w:val="auto"/>
          <w:sz w:val="32"/>
          <w:szCs w:val="32"/>
          <w:shd w:val="clear" w:color="auto" w:fill="FFFFFF"/>
        </w:rPr>
        <w:t>项、行政处罚目录</w:t>
      </w:r>
      <w:r>
        <w:rPr>
          <w:rFonts w:ascii="仿宋_GB2312" w:eastAsia="仿宋_GB2312"/>
          <w:color w:val="auto"/>
          <w:sz w:val="32"/>
          <w:szCs w:val="32"/>
          <w:shd w:val="clear" w:color="auto" w:fill="FFFFFF"/>
        </w:rPr>
        <w:t>2846</w:t>
      </w:r>
      <w:r>
        <w:rPr>
          <w:rFonts w:hint="eastAsia" w:ascii="仿宋_GB2312" w:eastAsia="仿宋_GB2312"/>
          <w:color w:val="auto"/>
          <w:sz w:val="32"/>
          <w:szCs w:val="32"/>
          <w:shd w:val="clear" w:color="auto" w:fill="FFFFFF"/>
        </w:rPr>
        <w:t>项</w:t>
      </w:r>
      <w:r>
        <w:rPr>
          <w:rFonts w:hint="eastAsia" w:ascii="仿宋_GB2312" w:eastAsia="仿宋_GB2312"/>
          <w:color w:val="auto"/>
          <w:sz w:val="32"/>
          <w:szCs w:val="32"/>
          <w:shd w:val="clear" w:color="auto" w:fill="FFFFFF"/>
          <w:lang w:eastAsia="zh-CN"/>
        </w:rPr>
        <w:t>。</w:t>
      </w:r>
    </w:p>
    <w:p w14:paraId="71DDA036">
      <w:pPr>
        <w:keepNext w:val="0"/>
        <w:keepLines w:val="0"/>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rPr>
          <w:rFonts w:hint="eastAsia" w:ascii="仿宋_GB2312" w:hAnsi="仿宋" w:eastAsia="仿宋_GB2312" w:cs="仿宋_GB2312"/>
          <w:color w:val="auto"/>
          <w:sz w:val="32"/>
          <w:szCs w:val="32"/>
          <w:lang w:val="en-US" w:eastAsia="zh-CN"/>
        </w:rPr>
      </w:pPr>
      <w:r>
        <w:rPr>
          <w:rFonts w:hint="eastAsia" w:ascii="仿宋" w:hAnsi="仿宋" w:eastAsia="仿宋" w:cs="仿宋"/>
          <w:b/>
          <w:bCs/>
          <w:i w:val="0"/>
          <w:caps w:val="0"/>
          <w:color w:val="auto"/>
          <w:spacing w:val="0"/>
          <w:kern w:val="0"/>
          <w:sz w:val="32"/>
          <w:szCs w:val="32"/>
          <w:u w:val="none"/>
          <w:lang w:val="en-US" w:eastAsia="zh-CN" w:bidi="ar"/>
        </w:rPr>
        <w:t>3.强化市场执法监管。</w:t>
      </w:r>
      <w:r>
        <w:rPr>
          <w:rFonts w:hint="eastAsia" w:ascii="仿宋" w:hAnsi="仿宋" w:eastAsia="仿宋" w:cs="仿宋"/>
          <w:color w:val="auto"/>
          <w:sz w:val="32"/>
          <w:szCs w:val="32"/>
          <w:lang w:eastAsia="zh-CN"/>
        </w:rPr>
        <w:t>重点加强</w:t>
      </w:r>
      <w:r>
        <w:rPr>
          <w:rFonts w:hint="eastAsia" w:ascii="仿宋" w:hAnsi="仿宋" w:eastAsia="仿宋" w:cs="仿宋"/>
          <w:b w:val="0"/>
          <w:bCs w:val="0"/>
          <w:color w:val="auto"/>
          <w:sz w:val="32"/>
          <w:szCs w:val="32"/>
          <w:lang w:eastAsia="zh-CN"/>
        </w:rPr>
        <w:t>对肉类等</w:t>
      </w:r>
      <w:r>
        <w:rPr>
          <w:rFonts w:hint="eastAsia" w:ascii="仿宋" w:hAnsi="仿宋" w:eastAsia="仿宋" w:cs="仿宋"/>
          <w:b w:val="0"/>
          <w:bCs w:val="0"/>
          <w:color w:val="auto"/>
          <w:sz w:val="32"/>
          <w:szCs w:val="32"/>
        </w:rPr>
        <w:t>重要民生商品</w:t>
      </w:r>
      <w:r>
        <w:rPr>
          <w:rFonts w:hint="eastAsia" w:ascii="仿宋" w:hAnsi="仿宋" w:eastAsia="仿宋" w:cs="仿宋"/>
          <w:b w:val="0"/>
          <w:bCs w:val="0"/>
          <w:color w:val="auto"/>
          <w:sz w:val="32"/>
          <w:szCs w:val="32"/>
          <w:lang w:eastAsia="zh-CN"/>
        </w:rPr>
        <w:t>的</w:t>
      </w:r>
      <w:r>
        <w:rPr>
          <w:rFonts w:hint="eastAsia" w:ascii="仿宋" w:hAnsi="仿宋" w:eastAsia="仿宋" w:cs="仿宋"/>
          <w:b w:val="0"/>
          <w:bCs w:val="0"/>
          <w:color w:val="auto"/>
          <w:sz w:val="32"/>
          <w:szCs w:val="32"/>
        </w:rPr>
        <w:t>价格监管，</w:t>
      </w:r>
      <w:r>
        <w:rPr>
          <w:rFonts w:hint="eastAsia" w:ascii="仿宋" w:hAnsi="仿宋" w:eastAsia="仿宋" w:cs="仿宋"/>
          <w:b w:val="0"/>
          <w:bCs w:val="0"/>
          <w:color w:val="auto"/>
          <w:sz w:val="32"/>
          <w:szCs w:val="32"/>
          <w:lang w:eastAsia="zh-CN"/>
        </w:rPr>
        <w:t>严厉查处</w:t>
      </w:r>
      <w:r>
        <w:rPr>
          <w:rFonts w:hint="eastAsia" w:ascii="仿宋" w:hAnsi="仿宋" w:eastAsia="仿宋" w:cs="仿宋"/>
          <w:b w:val="0"/>
          <w:bCs w:val="0"/>
          <w:color w:val="auto"/>
          <w:sz w:val="32"/>
          <w:szCs w:val="32"/>
          <w:shd w:val="clear" w:color="auto" w:fill="FFFFFF"/>
        </w:rPr>
        <w:t>价格违法行为</w:t>
      </w:r>
      <w:r>
        <w:rPr>
          <w:rFonts w:hint="eastAsia" w:ascii="仿宋" w:hAnsi="仿宋" w:eastAsia="仿宋" w:cs="仿宋"/>
          <w:b w:val="0"/>
          <w:bCs w:val="0"/>
          <w:color w:val="auto"/>
          <w:sz w:val="32"/>
          <w:szCs w:val="32"/>
          <w:shd w:val="clear" w:color="auto" w:fill="FFFFFF"/>
          <w:lang w:eastAsia="zh-CN"/>
        </w:rPr>
        <w:t>，确保市场物价稳定。</w:t>
      </w:r>
      <w:r>
        <w:rPr>
          <w:rFonts w:hint="eastAsia" w:ascii="仿宋" w:hAnsi="仿宋" w:eastAsia="仿宋" w:cs="仿宋"/>
          <w:b w:val="0"/>
          <w:bCs w:val="0"/>
          <w:color w:val="auto"/>
          <w:sz w:val="32"/>
          <w:szCs w:val="32"/>
          <w:shd w:val="clear" w:color="auto" w:fill="FFFFFF"/>
          <w:lang w:val="en-US" w:eastAsia="zh-CN"/>
        </w:rPr>
        <w:t>2019年，我市共出动执法人员432人次，执法车辆335台次，检查猪肉经营户1009户次、农贸市场139</w:t>
      </w:r>
      <w:r>
        <w:rPr>
          <w:rFonts w:hint="eastAsia" w:ascii="仿宋" w:hAnsi="仿宋" w:eastAsia="仿宋" w:cs="仿宋"/>
          <w:b w:val="0"/>
          <w:bCs w:val="0"/>
          <w:color w:val="auto"/>
          <w:sz w:val="32"/>
          <w:szCs w:val="32"/>
          <w:shd w:val="clear" w:color="auto" w:fill="FFFFFF"/>
          <w:lang w:val="zh-CN" w:eastAsia="zh-CN"/>
        </w:rPr>
        <w:t>个次、冻库</w:t>
      </w:r>
      <w:r>
        <w:rPr>
          <w:rFonts w:hint="eastAsia" w:ascii="仿宋" w:hAnsi="仿宋" w:eastAsia="仿宋" w:cs="仿宋"/>
          <w:b w:val="0"/>
          <w:bCs w:val="0"/>
          <w:color w:val="auto"/>
          <w:sz w:val="32"/>
          <w:szCs w:val="32"/>
          <w:shd w:val="clear" w:color="auto" w:fill="FFFFFF"/>
          <w:lang w:val="en-US" w:eastAsia="zh-CN"/>
        </w:rPr>
        <w:t>45</w:t>
      </w:r>
      <w:r>
        <w:rPr>
          <w:rFonts w:hint="eastAsia" w:ascii="仿宋" w:hAnsi="仿宋" w:eastAsia="仿宋" w:cs="仿宋"/>
          <w:b w:val="0"/>
          <w:bCs w:val="0"/>
          <w:color w:val="auto"/>
          <w:sz w:val="32"/>
          <w:szCs w:val="32"/>
          <w:shd w:val="clear" w:color="auto" w:fill="FFFFFF"/>
          <w:lang w:val="zh-CN" w:eastAsia="zh-CN"/>
        </w:rPr>
        <w:t>户次、超市</w:t>
      </w:r>
      <w:r>
        <w:rPr>
          <w:rFonts w:hint="eastAsia" w:ascii="仿宋" w:hAnsi="仿宋" w:eastAsia="仿宋" w:cs="仿宋"/>
          <w:b w:val="0"/>
          <w:bCs w:val="0"/>
          <w:color w:val="auto"/>
          <w:sz w:val="32"/>
          <w:szCs w:val="32"/>
          <w:shd w:val="clear" w:color="auto" w:fill="FFFFFF"/>
          <w:lang w:val="en-US" w:eastAsia="zh-CN"/>
        </w:rPr>
        <w:t>48</w:t>
      </w:r>
      <w:r>
        <w:rPr>
          <w:rFonts w:hint="eastAsia" w:ascii="仿宋" w:hAnsi="仿宋" w:eastAsia="仿宋" w:cs="仿宋"/>
          <w:b w:val="0"/>
          <w:bCs w:val="0"/>
          <w:color w:val="auto"/>
          <w:sz w:val="32"/>
          <w:szCs w:val="32"/>
          <w:shd w:val="clear" w:color="auto" w:fill="FFFFFF"/>
          <w:lang w:val="zh-CN" w:eastAsia="zh-CN"/>
        </w:rPr>
        <w:t>个次、</w:t>
      </w:r>
      <w:r>
        <w:rPr>
          <w:rFonts w:hint="eastAsia" w:ascii="仿宋" w:hAnsi="仿宋" w:eastAsia="仿宋" w:cs="仿宋"/>
          <w:b w:val="0"/>
          <w:bCs w:val="0"/>
          <w:color w:val="auto"/>
          <w:sz w:val="32"/>
          <w:szCs w:val="32"/>
          <w:shd w:val="clear" w:color="auto" w:fill="FFFFFF"/>
          <w:lang w:val="en-US" w:eastAsia="zh-CN"/>
        </w:rPr>
        <w:t>生猪定点屠宰场1个次</w:t>
      </w:r>
      <w:r>
        <w:rPr>
          <w:rFonts w:hint="eastAsia" w:ascii="仿宋" w:hAnsi="仿宋" w:eastAsia="仿宋" w:cs="仿宋"/>
          <w:b w:val="0"/>
          <w:bCs w:val="0"/>
          <w:color w:val="auto"/>
          <w:sz w:val="32"/>
          <w:szCs w:val="32"/>
          <w:shd w:val="clear" w:color="auto" w:fill="FFFFFF"/>
          <w:lang w:val="zh-CN" w:eastAsia="zh-CN"/>
        </w:rPr>
        <w:t>。</w:t>
      </w:r>
      <w:r>
        <w:rPr>
          <w:rFonts w:hint="eastAsia" w:ascii="仿宋" w:hAnsi="仿宋" w:eastAsia="仿宋" w:cs="仿宋"/>
          <w:b w:val="0"/>
          <w:bCs w:val="0"/>
          <w:color w:val="auto"/>
          <w:sz w:val="32"/>
          <w:szCs w:val="32"/>
          <w:shd w:val="clear" w:color="auto" w:fill="FFFFFF"/>
          <w:lang w:val="en-US" w:eastAsia="zh-CN"/>
        </w:rPr>
        <w:t>加强广告导向监管</w:t>
      </w:r>
      <w:r>
        <w:rPr>
          <w:rFonts w:hint="eastAsia" w:ascii="仿宋" w:hAnsi="仿宋" w:eastAsia="仿宋" w:cs="仿宋"/>
          <w:b w:val="0"/>
          <w:bCs w:val="0"/>
          <w:color w:val="auto"/>
          <w:sz w:val="32"/>
          <w:szCs w:val="32"/>
          <w:shd w:val="clear" w:color="auto" w:fill="FFFFFF"/>
          <w:lang w:eastAsia="zh-CN"/>
        </w:rPr>
        <w:t>，协调多部门联合开展</w:t>
      </w:r>
      <w:r>
        <w:rPr>
          <w:rFonts w:hint="eastAsia" w:ascii="仿宋" w:hAnsi="仿宋" w:eastAsia="仿宋" w:cs="仿宋"/>
          <w:b w:val="0"/>
          <w:bCs w:val="0"/>
          <w:color w:val="auto"/>
          <w:sz w:val="32"/>
          <w:szCs w:val="32"/>
          <w:shd w:val="clear" w:color="auto" w:fill="FFFFFF"/>
          <w:lang w:val="en-US" w:eastAsia="zh-CN"/>
        </w:rPr>
        <w:t>互联网等领域的广告专项整治，</w:t>
      </w:r>
      <w:r>
        <w:rPr>
          <w:rFonts w:hint="eastAsia" w:ascii="仿宋" w:hAnsi="仿宋" w:eastAsia="仿宋" w:cs="仿宋"/>
          <w:b w:val="0"/>
          <w:bCs w:val="0"/>
          <w:color w:val="auto"/>
          <w:sz w:val="32"/>
          <w:szCs w:val="32"/>
          <w:shd w:val="clear" w:color="auto" w:fill="FFFFFF"/>
          <w:lang w:eastAsia="zh-CN"/>
        </w:rPr>
        <w:t>严厉打击虚假违</w:t>
      </w:r>
      <w:r>
        <w:rPr>
          <w:rFonts w:hint="eastAsia" w:ascii="仿宋" w:hAnsi="仿宋" w:eastAsia="仿宋" w:cs="仿宋"/>
          <w:color w:val="auto"/>
          <w:sz w:val="32"/>
          <w:szCs w:val="32"/>
          <w:lang w:eastAsia="zh-CN"/>
        </w:rPr>
        <w:t>法广告；深入开展</w:t>
      </w:r>
      <w:r>
        <w:rPr>
          <w:rFonts w:hint="eastAsia" w:ascii="仿宋" w:hAnsi="仿宋" w:eastAsia="仿宋" w:cs="仿宋"/>
          <w:color w:val="auto"/>
          <w:sz w:val="32"/>
          <w:szCs w:val="32"/>
        </w:rPr>
        <w:t>扫黑除恶</w:t>
      </w:r>
      <w:r>
        <w:rPr>
          <w:rFonts w:hint="eastAsia" w:ascii="仿宋" w:hAnsi="仿宋" w:eastAsia="仿宋" w:cs="仿宋"/>
          <w:color w:val="auto"/>
          <w:sz w:val="32"/>
          <w:szCs w:val="32"/>
          <w:lang w:eastAsia="zh-CN"/>
        </w:rPr>
        <w:t>行动，向</w:t>
      </w:r>
      <w:r>
        <w:rPr>
          <w:rFonts w:hint="eastAsia" w:ascii="仿宋" w:hAnsi="仿宋" w:eastAsia="仿宋" w:cs="仿宋"/>
          <w:color w:val="auto"/>
          <w:sz w:val="32"/>
          <w:szCs w:val="32"/>
          <w:u w:val="none"/>
          <w:lang w:val="en-US" w:eastAsia="zh-CN"/>
        </w:rPr>
        <w:t>市扫黑办、公安部门移交线索</w:t>
      </w:r>
      <w:r>
        <w:rPr>
          <w:rFonts w:hint="eastAsia" w:ascii="仿宋" w:hAnsi="仿宋" w:eastAsia="仿宋" w:cs="仿宋"/>
          <w:b w:val="0"/>
          <w:bCs w:val="0"/>
          <w:color w:val="auto"/>
          <w:sz w:val="32"/>
          <w:szCs w:val="32"/>
          <w:u w:val="none"/>
          <w:lang w:val="en-US" w:eastAsia="zh-CN"/>
        </w:rPr>
        <w:t>62条。</w:t>
      </w:r>
      <w:r>
        <w:rPr>
          <w:rFonts w:hint="eastAsia" w:ascii="仿宋" w:hAnsi="仿宋" w:eastAsia="仿宋" w:cs="仿宋"/>
          <w:b w:val="0"/>
          <w:bCs w:val="0"/>
          <w:color w:val="auto"/>
          <w:sz w:val="32"/>
          <w:szCs w:val="32"/>
          <w:lang w:val="en-US" w:eastAsia="zh-CN"/>
        </w:rPr>
        <w:t>持续打击传销行为。</w:t>
      </w:r>
      <w:r>
        <w:rPr>
          <w:rFonts w:hint="eastAsia" w:ascii="仿宋_GB2312" w:eastAsia="仿宋_GB2312"/>
          <w:color w:val="auto"/>
          <w:sz w:val="32"/>
          <w:szCs w:val="32"/>
        </w:rPr>
        <w:t>2016年5月4日，融水县工商局依法对石美英等人销售“天狮保健品”传销行为作出罚款50万元，吊销营业执照的行政处罚。</w:t>
      </w:r>
      <w:r>
        <w:rPr>
          <w:rFonts w:hint="eastAsia" w:ascii="仿宋_GB2312" w:eastAsia="仿宋_GB2312"/>
          <w:color w:val="auto"/>
          <w:sz w:val="32"/>
          <w:szCs w:val="32"/>
          <w:lang w:eastAsia="zh-CN"/>
        </w:rPr>
        <w:t>同年</w:t>
      </w:r>
      <w:r>
        <w:rPr>
          <w:rFonts w:hint="eastAsia" w:ascii="仿宋_GB2312" w:eastAsia="仿宋_GB2312"/>
          <w:color w:val="auto"/>
          <w:sz w:val="32"/>
          <w:szCs w:val="32"/>
          <w:lang w:val="en-US" w:eastAsia="zh-CN"/>
        </w:rPr>
        <w:t>5月，柳州市工商局联合柳东分局</w:t>
      </w:r>
      <w:r>
        <w:rPr>
          <w:rFonts w:hint="eastAsia" w:ascii="仿宋_GB2312" w:eastAsia="仿宋_GB2312"/>
          <w:color w:val="auto"/>
          <w:sz w:val="32"/>
          <w:szCs w:val="32"/>
        </w:rPr>
        <w:t>成功查办了广西工商系统2016年第一起网络传销案</w:t>
      </w:r>
      <w:r>
        <w:rPr>
          <w:rFonts w:hint="eastAsia" w:ascii="仿宋_GB2312" w:eastAsia="仿宋_GB2312"/>
          <w:color w:val="auto"/>
          <w:sz w:val="32"/>
          <w:szCs w:val="32"/>
          <w:lang w:eastAsia="zh-CN"/>
        </w:rPr>
        <w:t>——</w:t>
      </w:r>
      <w:r>
        <w:rPr>
          <w:rFonts w:hint="eastAsia" w:ascii="仿宋_GB2312" w:eastAsia="仿宋_GB2312"/>
          <w:color w:val="auto"/>
          <w:sz w:val="32"/>
          <w:szCs w:val="32"/>
        </w:rPr>
        <w:t>广西卓成文化传媒有限公司涉嫌组织传销案</w:t>
      </w:r>
      <w:r>
        <w:rPr>
          <w:rFonts w:hint="eastAsia" w:ascii="仿宋_GB2312" w:eastAsia="仿宋_GB2312"/>
          <w:color w:val="auto"/>
          <w:sz w:val="32"/>
          <w:szCs w:val="32"/>
          <w:lang w:eastAsia="zh-CN"/>
        </w:rPr>
        <w:t>，</w:t>
      </w:r>
      <w:r>
        <w:rPr>
          <w:rFonts w:hint="eastAsia" w:ascii="仿宋_GB2312" w:eastAsia="仿宋_GB2312"/>
          <w:color w:val="auto"/>
          <w:sz w:val="32"/>
          <w:szCs w:val="32"/>
        </w:rPr>
        <w:t>罚没款共计250万元，上缴国库。2017年2月，经自治区打击传销工作领导小组考核和公示，我市荣获2014-2016年度“广西无传销城市”称号，我市下属五县六区全部荣获“广西无传销县（市、区）”称号。</w:t>
      </w:r>
      <w:r>
        <w:rPr>
          <w:rFonts w:hint="eastAsia" w:ascii="仿宋_GB2312" w:eastAsia="仿宋_GB2312"/>
          <w:color w:val="auto"/>
          <w:sz w:val="32"/>
          <w:szCs w:val="32"/>
          <w:lang w:val="en-US" w:eastAsia="zh-CN"/>
        </w:rPr>
        <w:t>2018年，</w:t>
      </w:r>
      <w:r>
        <w:rPr>
          <w:rFonts w:hint="eastAsia" w:ascii="仿宋_GB2312" w:hAnsi="仿宋" w:eastAsia="仿宋_GB2312" w:cs="仿宋_GB2312"/>
          <w:color w:val="auto"/>
          <w:sz w:val="32"/>
          <w:szCs w:val="32"/>
          <w:lang w:eastAsia="zh-CN"/>
        </w:rPr>
        <w:t>我局城中分局查办了柳州市喜海贸易有限公司的“宝兰瑞”消费商“团队计酬”传销案，罚没50万元，有力的震慑了传销分子，取得了良好的社会效果。截至</w:t>
      </w:r>
      <w:r>
        <w:rPr>
          <w:rFonts w:hint="eastAsia" w:ascii="仿宋_GB2312" w:hAnsi="仿宋" w:eastAsia="仿宋_GB2312" w:cs="仿宋_GB2312"/>
          <w:color w:val="auto"/>
          <w:sz w:val="32"/>
          <w:szCs w:val="32"/>
          <w:lang w:val="en-US" w:eastAsia="zh-CN"/>
        </w:rPr>
        <w:t>2019年12月，我市</w:t>
      </w:r>
      <w:r>
        <w:rPr>
          <w:rFonts w:hint="eastAsia" w:ascii="仿宋_GB2312" w:hAnsi="仿宋" w:eastAsia="仿宋_GB2312" w:cs="仿宋_GB2312"/>
          <w:color w:val="auto"/>
          <w:sz w:val="32"/>
          <w:szCs w:val="32"/>
          <w:lang w:eastAsia="zh-CN"/>
        </w:rPr>
        <w:t>创建“无传销社区（村）”1</w:t>
      </w:r>
      <w:r>
        <w:rPr>
          <w:rFonts w:hint="eastAsia" w:ascii="仿宋_GB2312" w:hAnsi="仿宋" w:eastAsia="仿宋_GB2312" w:cs="仿宋_GB2312"/>
          <w:color w:val="auto"/>
          <w:sz w:val="32"/>
          <w:szCs w:val="32"/>
          <w:lang w:val="en-US" w:eastAsia="zh-CN"/>
        </w:rPr>
        <w:t>218</w:t>
      </w:r>
      <w:r>
        <w:rPr>
          <w:rFonts w:hint="eastAsia" w:ascii="仿宋_GB2312" w:hAnsi="仿宋" w:eastAsia="仿宋_GB2312" w:cs="仿宋_GB2312"/>
          <w:color w:val="auto"/>
          <w:sz w:val="32"/>
          <w:szCs w:val="32"/>
          <w:lang w:eastAsia="zh-CN"/>
        </w:rPr>
        <w:t>个，创建率达100%</w:t>
      </w:r>
      <w:r>
        <w:rPr>
          <w:rFonts w:hint="eastAsia" w:ascii="仿宋_GB2312" w:hAnsi="仿宋" w:eastAsia="仿宋_GB2312" w:cs="仿宋_GB2312"/>
          <w:color w:val="auto"/>
          <w:sz w:val="32"/>
          <w:szCs w:val="32"/>
          <w:lang w:val="en-US" w:eastAsia="zh-CN"/>
        </w:rPr>
        <w:t>。同时，</w:t>
      </w:r>
      <w:r>
        <w:rPr>
          <w:rFonts w:hint="eastAsia" w:ascii="仿宋_GB2312" w:hAnsi="仿宋" w:eastAsia="仿宋_GB2312" w:cs="仿宋_GB2312"/>
          <w:color w:val="auto"/>
          <w:sz w:val="32"/>
          <w:szCs w:val="32"/>
          <w:lang w:eastAsia="zh-CN"/>
        </w:rPr>
        <w:t>深入开展反不正当竞争执法。</w:t>
      </w:r>
      <w:r>
        <w:rPr>
          <w:rFonts w:hint="eastAsia" w:ascii="仿宋_GB2312" w:hAnsi="仿宋" w:eastAsia="仿宋_GB2312" w:cs="仿宋_GB2312"/>
          <w:color w:val="auto"/>
          <w:sz w:val="32"/>
          <w:szCs w:val="32"/>
          <w:lang w:val="en-US" w:eastAsia="zh-CN"/>
        </w:rPr>
        <w:t>2016-2019年，共立案查办不正当竞争案件14件，罚没126.502万元，暂扣50万元。</w:t>
      </w:r>
    </w:p>
    <w:p w14:paraId="4E90EA30">
      <w:pPr>
        <w:keepNext w:val="0"/>
        <w:keepLines w:val="0"/>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rPr>
          <w:rFonts w:hint="eastAsia" w:ascii="仿宋" w:hAnsi="仿宋" w:eastAsia="仿宋" w:cs="仿宋"/>
          <w:b w:val="0"/>
          <w:i w:val="0"/>
          <w:caps w:val="0"/>
          <w:color w:val="auto"/>
          <w:spacing w:val="0"/>
          <w:kern w:val="0"/>
          <w:sz w:val="32"/>
          <w:szCs w:val="32"/>
          <w:u w:val="none"/>
          <w:lang w:val="en-US" w:eastAsia="zh-CN" w:bidi="ar"/>
        </w:rPr>
      </w:pPr>
      <w:r>
        <w:rPr>
          <w:rFonts w:hint="eastAsia" w:ascii="仿宋" w:hAnsi="仿宋" w:eastAsia="仿宋" w:cs="仿宋"/>
          <w:b/>
          <w:bCs/>
          <w:i w:val="0"/>
          <w:caps w:val="0"/>
          <w:color w:val="auto"/>
          <w:spacing w:val="0"/>
          <w:kern w:val="0"/>
          <w:sz w:val="32"/>
          <w:szCs w:val="32"/>
          <w:u w:val="none"/>
          <w:lang w:val="en-US" w:eastAsia="zh-CN" w:bidi="ar"/>
        </w:rPr>
        <w:t>4.强化质量监督抽查。</w:t>
      </w:r>
      <w:r>
        <w:rPr>
          <w:rFonts w:hint="eastAsia" w:ascii="仿宋" w:hAnsi="仿宋" w:eastAsia="仿宋" w:cs="仿宋"/>
          <w:b w:val="0"/>
          <w:bCs w:val="0"/>
          <w:i w:val="0"/>
          <w:caps w:val="0"/>
          <w:color w:val="auto"/>
          <w:spacing w:val="0"/>
          <w:kern w:val="0"/>
          <w:sz w:val="32"/>
          <w:szCs w:val="32"/>
          <w:u w:val="none"/>
          <w:lang w:val="en-US" w:eastAsia="zh-CN" w:bidi="ar"/>
        </w:rPr>
        <w:t>维持我市产品和商品总体质量良好水平。对</w:t>
      </w:r>
      <w:r>
        <w:rPr>
          <w:rFonts w:hint="eastAsia" w:ascii="仿宋" w:hAnsi="仿宋" w:eastAsia="仿宋" w:cs="仿宋"/>
          <w:b w:val="0"/>
          <w:i w:val="0"/>
          <w:caps w:val="0"/>
          <w:color w:val="auto"/>
          <w:spacing w:val="0"/>
          <w:kern w:val="0"/>
          <w:sz w:val="32"/>
          <w:szCs w:val="32"/>
          <w:u w:val="none"/>
          <w:lang w:val="en-US" w:eastAsia="zh-CN" w:bidi="ar"/>
        </w:rPr>
        <w:t xml:space="preserve">工业产品、食品、食用农产品、保健食品及药品等涉及民生的重要产品和商品开展严格抽检，质量合格率分别达到了97.57%、96.88%、94%、100%和94.44%，总体质量保持在较高水平。 </w:t>
      </w:r>
    </w:p>
    <w:p w14:paraId="29D84784">
      <w:pPr>
        <w:keepNext w:val="0"/>
        <w:keepLines w:val="0"/>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bCs/>
          <w:i w:val="0"/>
          <w:caps w:val="0"/>
          <w:color w:val="auto"/>
          <w:spacing w:val="0"/>
          <w:kern w:val="0"/>
          <w:sz w:val="32"/>
          <w:szCs w:val="32"/>
          <w:u w:val="none"/>
          <w:lang w:val="en-US" w:eastAsia="zh-CN" w:bidi="ar"/>
        </w:rPr>
        <w:t>5.深入推进消费维权工作。</w:t>
      </w:r>
      <w:r>
        <w:rPr>
          <w:rFonts w:hint="eastAsia" w:ascii="仿宋" w:hAnsi="仿宋" w:eastAsia="仿宋" w:cs="仿宋"/>
          <w:b w:val="0"/>
          <w:bCs w:val="0"/>
          <w:i w:val="0"/>
          <w:caps w:val="0"/>
          <w:color w:val="auto"/>
          <w:spacing w:val="0"/>
          <w:kern w:val="0"/>
          <w:sz w:val="32"/>
          <w:szCs w:val="32"/>
          <w:u w:val="none"/>
          <w:lang w:val="en-US" w:eastAsia="zh-CN" w:bidi="ar"/>
        </w:rPr>
        <w:t>牵头建立了柳州市消费者权益保护联席会议制度，凝聚各方力量，构建“政府主导、部门联动、社会监督、行业参与、企业自律”的消费维权共治格局。柳州市消费维权工作得到了自治区高度认可，成为全国首批“消保工作新闻宣传联系点”之一；</w:t>
      </w:r>
      <w:r>
        <w:rPr>
          <w:rFonts w:hint="eastAsia" w:ascii="仿宋_GB2312" w:hAnsi="仿宋_GB2312" w:eastAsia="仿宋_GB2312" w:cs="仿宋_GB2312"/>
          <w:b w:val="0"/>
          <w:color w:val="auto"/>
          <w:kern w:val="0"/>
          <w:sz w:val="32"/>
          <w:szCs w:val="32"/>
          <w:highlight w:val="none"/>
          <w:lang w:val="en-US" w:eastAsia="zh-CN" w:bidi="ar"/>
        </w:rPr>
        <w:t>发展“直通车企业”、ODR（在线解决纠纷）企业、放心消费参创单位，</w:t>
      </w:r>
      <w:r>
        <w:rPr>
          <w:rFonts w:hint="eastAsia" w:ascii="仿宋" w:hAnsi="仿宋" w:eastAsia="仿宋" w:cs="仿宋"/>
          <w:b w:val="0"/>
          <w:bCs/>
          <w:color w:val="auto"/>
          <w:sz w:val="32"/>
          <w:szCs w:val="32"/>
          <w:lang w:val="en-US" w:eastAsia="zh-CN"/>
        </w:rPr>
        <w:t>超额完成了自治区制定的新增创建“诚信经营放心消费”承诺单位、电子商务领域放心消费单位和示范街区等目标，2016—2020年，经由“企业直通车”消费争议快速处理绿色通道解决消费纠纷共2406件，挽回经济损失87.74万元；</w:t>
      </w:r>
      <w:r>
        <w:rPr>
          <w:rFonts w:hint="eastAsia" w:ascii="仿宋" w:hAnsi="仿宋" w:eastAsia="仿宋" w:cs="仿宋"/>
          <w:b w:val="0"/>
          <w:bCs/>
          <w:i w:val="0"/>
          <w:caps w:val="0"/>
          <w:color w:val="auto"/>
          <w:spacing w:val="0"/>
          <w:kern w:val="0"/>
          <w:sz w:val="32"/>
          <w:szCs w:val="32"/>
          <w:u w:val="none"/>
          <w:lang w:val="en-US" w:eastAsia="zh-CN" w:bidi="ar"/>
        </w:rPr>
        <w:t>进一步</w:t>
      </w:r>
      <w:r>
        <w:rPr>
          <w:rFonts w:hint="eastAsia" w:ascii="仿宋" w:hAnsi="仿宋" w:eastAsia="仿宋" w:cs="仿宋"/>
          <w:b w:val="0"/>
          <w:bCs/>
          <w:color w:val="auto"/>
          <w:sz w:val="32"/>
          <w:szCs w:val="32"/>
          <w:vertAlign w:val="baseline"/>
          <w:lang w:val="en-US" w:eastAsia="zh-CN"/>
        </w:rPr>
        <w:t>整合消费者投诉举报渠道，实现了“5线合一”，统一“12315”一号对外服务，消费者维权更为便捷。</w:t>
      </w:r>
      <w:r>
        <w:rPr>
          <w:rFonts w:hint="eastAsia" w:ascii="仿宋" w:hAnsi="仿宋" w:eastAsia="仿宋" w:cs="仿宋"/>
          <w:b w:val="0"/>
          <w:bCs/>
          <w:color w:val="auto"/>
          <w:sz w:val="32"/>
          <w:szCs w:val="32"/>
          <w:lang w:val="en-US" w:eastAsia="zh-CN"/>
        </w:rPr>
        <w:t>2016至2020年，热线平台接到咨询、投诉、举报共122413件，为消费者挽回经济损失3714.8万元，</w:t>
      </w:r>
      <w:r>
        <w:rPr>
          <w:rFonts w:hint="eastAsia" w:ascii="仿宋" w:hAnsi="仿宋" w:eastAsia="仿宋" w:cs="仿宋"/>
          <w:b w:val="0"/>
          <w:bCs/>
          <w:i w:val="0"/>
          <w:caps w:val="0"/>
          <w:color w:val="auto"/>
          <w:spacing w:val="0"/>
          <w:kern w:val="0"/>
          <w:sz w:val="32"/>
          <w:szCs w:val="32"/>
          <w:u w:val="none"/>
          <w:lang w:val="en-US" w:eastAsia="zh-CN" w:bidi="ar"/>
        </w:rPr>
        <w:t>消费者维权满意度进一步提升。</w:t>
      </w:r>
    </w:p>
    <w:p w14:paraId="57AE5F10">
      <w:pPr>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rPr>
          <w:rFonts w:hint="eastAsia" w:ascii="仿宋" w:hAnsi="仿宋" w:eastAsia="仿宋" w:cs="仿宋"/>
          <w:b/>
          <w:bCs w:val="0"/>
          <w:i w:val="0"/>
          <w:caps w:val="0"/>
          <w:color w:val="auto"/>
          <w:spacing w:val="0"/>
          <w:kern w:val="0"/>
          <w:sz w:val="32"/>
          <w:szCs w:val="32"/>
          <w:u w:val="none"/>
          <w:lang w:val="en-US" w:eastAsia="zh-CN" w:bidi="ar"/>
        </w:rPr>
      </w:pPr>
      <w:r>
        <w:rPr>
          <w:rFonts w:hint="eastAsia" w:ascii="仿宋" w:hAnsi="仿宋" w:eastAsia="仿宋" w:cs="仿宋"/>
          <w:b/>
          <w:bCs w:val="0"/>
          <w:i w:val="0"/>
          <w:caps w:val="0"/>
          <w:color w:val="auto"/>
          <w:spacing w:val="0"/>
          <w:kern w:val="0"/>
          <w:sz w:val="32"/>
          <w:szCs w:val="32"/>
          <w:u w:val="none"/>
          <w:lang w:val="en-US" w:eastAsia="zh-CN" w:bidi="ar"/>
        </w:rPr>
        <w:t>（四）扎实开展重点领域安全监管，营造安全稳定态势。</w:t>
      </w:r>
    </w:p>
    <w:p w14:paraId="6948FC20">
      <w:pPr>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rPr>
          <w:rFonts w:hint="eastAsia" w:ascii="仿宋" w:hAnsi="仿宋" w:eastAsia="仿宋" w:cs="仿宋"/>
          <w:b w:val="0"/>
          <w:i w:val="0"/>
          <w:caps w:val="0"/>
          <w:color w:val="auto"/>
          <w:spacing w:val="0"/>
          <w:kern w:val="0"/>
          <w:sz w:val="32"/>
          <w:szCs w:val="32"/>
          <w:u w:val="none"/>
          <w:lang w:val="en-US" w:eastAsia="zh-CN" w:bidi="ar"/>
        </w:rPr>
      </w:pPr>
      <w:r>
        <w:rPr>
          <w:rFonts w:hint="eastAsia" w:ascii="仿宋" w:hAnsi="仿宋" w:eastAsia="仿宋" w:cs="仿宋"/>
          <w:b/>
          <w:bCs w:val="0"/>
          <w:i w:val="0"/>
          <w:caps w:val="0"/>
          <w:color w:val="auto"/>
          <w:spacing w:val="0"/>
          <w:kern w:val="0"/>
          <w:sz w:val="32"/>
          <w:szCs w:val="32"/>
          <w:u w:val="none"/>
          <w:lang w:val="en-US" w:eastAsia="zh-CN" w:bidi="ar"/>
        </w:rPr>
        <w:t>1.加强食品安全监管。</w:t>
      </w:r>
      <w:r>
        <w:rPr>
          <w:rFonts w:hint="eastAsia" w:ascii="仿宋" w:hAnsi="仿宋" w:eastAsia="仿宋" w:cs="仿宋"/>
          <w:color w:val="auto"/>
          <w:sz w:val="32"/>
          <w:szCs w:val="32"/>
          <w:lang w:eastAsia="zh-CN"/>
        </w:rPr>
        <w:t>认真贯彻党中央、国务院</w:t>
      </w:r>
      <w:r>
        <w:rPr>
          <w:rFonts w:hint="eastAsia" w:ascii="仿宋" w:hAnsi="仿宋" w:eastAsia="仿宋" w:cs="仿宋"/>
          <w:color w:val="auto"/>
          <w:sz w:val="32"/>
          <w:szCs w:val="32"/>
        </w:rPr>
        <w:t>食品安全</w:t>
      </w:r>
      <w:r>
        <w:rPr>
          <w:rFonts w:hint="eastAsia" w:ascii="仿宋" w:hAnsi="仿宋" w:eastAsia="仿宋" w:cs="仿宋"/>
          <w:color w:val="auto"/>
          <w:sz w:val="32"/>
          <w:szCs w:val="32"/>
          <w:lang w:eastAsia="zh-CN"/>
        </w:rPr>
        <w:t>工作部署，落实“四个最严”要求</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进一步强化“一把手”负责制和党政同责机制</w:t>
      </w:r>
      <w:r>
        <w:rPr>
          <w:rFonts w:hint="eastAsia" w:ascii="仿宋" w:hAnsi="仿宋" w:eastAsia="仿宋" w:cs="仿宋"/>
          <w:b w:val="0"/>
          <w:i w:val="0"/>
          <w:caps w:val="0"/>
          <w:color w:val="auto"/>
          <w:spacing w:val="0"/>
          <w:kern w:val="0"/>
          <w:sz w:val="32"/>
          <w:szCs w:val="32"/>
          <w:u w:val="none"/>
          <w:lang w:val="en-US" w:eastAsia="zh-CN" w:bidi="ar"/>
        </w:rPr>
        <w:t>；</w:t>
      </w:r>
      <w:r>
        <w:rPr>
          <w:rFonts w:hint="eastAsia" w:ascii="仿宋" w:hAnsi="仿宋" w:eastAsia="仿宋" w:cs="仿宋"/>
          <w:b w:val="0"/>
          <w:bCs w:val="0"/>
          <w:color w:val="auto"/>
          <w:sz w:val="32"/>
          <w:szCs w:val="32"/>
          <w:lang w:eastAsia="zh-CN"/>
        </w:rPr>
        <w:t>运用</w:t>
      </w:r>
      <w:r>
        <w:rPr>
          <w:rFonts w:hint="eastAsia" w:ascii="仿宋" w:hAnsi="仿宋" w:eastAsia="仿宋" w:cs="仿宋"/>
          <w:color w:val="auto"/>
          <w:sz w:val="32"/>
          <w:szCs w:val="32"/>
          <w:lang w:eastAsia="zh-CN"/>
        </w:rPr>
        <w:t>标准化和信息化手段，</w:t>
      </w:r>
      <w:r>
        <w:rPr>
          <w:rFonts w:hint="eastAsia" w:ascii="仿宋" w:hAnsi="仿宋" w:eastAsia="仿宋" w:cs="仿宋"/>
          <w:b w:val="0"/>
          <w:bCs w:val="0"/>
          <w:color w:val="auto"/>
          <w:sz w:val="32"/>
          <w:szCs w:val="32"/>
          <w:lang w:eastAsia="zh-CN"/>
        </w:rPr>
        <w:t>创新</w:t>
      </w:r>
      <w:r>
        <w:rPr>
          <w:rFonts w:hint="eastAsia" w:ascii="仿宋" w:hAnsi="仿宋" w:eastAsia="仿宋" w:cs="仿宋"/>
          <w:b w:val="0"/>
          <w:bCs w:val="0"/>
          <w:color w:val="auto"/>
          <w:sz w:val="32"/>
          <w:szCs w:val="32"/>
        </w:rPr>
        <w:t>校园食品安全</w:t>
      </w:r>
      <w:r>
        <w:rPr>
          <w:rFonts w:hint="eastAsia" w:ascii="仿宋" w:hAnsi="仿宋" w:eastAsia="仿宋" w:cs="仿宋"/>
          <w:b w:val="0"/>
          <w:bCs w:val="0"/>
          <w:color w:val="auto"/>
          <w:sz w:val="32"/>
          <w:szCs w:val="32"/>
          <w:lang w:eastAsia="zh-CN"/>
        </w:rPr>
        <w:t>监管模式</w:t>
      </w:r>
      <w:r>
        <w:rPr>
          <w:rFonts w:hint="eastAsia" w:ascii="仿宋" w:hAnsi="仿宋" w:eastAsia="仿宋" w:cs="仿宋"/>
          <w:b w:val="0"/>
          <w:bCs w:val="0"/>
          <w:color w:val="auto"/>
          <w:sz w:val="32"/>
          <w:szCs w:val="32"/>
        </w:rPr>
        <w:t>，</w:t>
      </w:r>
      <w:r>
        <w:rPr>
          <w:rFonts w:hint="eastAsia" w:ascii="仿宋" w:hAnsi="仿宋" w:eastAsia="仿宋" w:cs="仿宋"/>
          <w:color w:val="auto"/>
          <w:sz w:val="32"/>
          <w:szCs w:val="32"/>
        </w:rPr>
        <w:t>推动学校食堂“明厨亮灶”覆盖率</w:t>
      </w:r>
      <w:r>
        <w:rPr>
          <w:rFonts w:hint="eastAsia" w:ascii="仿宋" w:hAnsi="仿宋" w:eastAsia="仿宋" w:cs="仿宋"/>
          <w:color w:val="auto"/>
          <w:sz w:val="32"/>
          <w:szCs w:val="32"/>
          <w:lang w:eastAsia="zh-CN"/>
        </w:rPr>
        <w:t>达</w:t>
      </w:r>
      <w:r>
        <w:rPr>
          <w:rFonts w:hint="eastAsia" w:ascii="仿宋" w:hAnsi="仿宋" w:eastAsia="仿宋" w:cs="仿宋"/>
          <w:color w:val="auto"/>
          <w:sz w:val="32"/>
          <w:szCs w:val="32"/>
        </w:rPr>
        <w:t>88.46%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超额完成自治区下达80%的目标，</w:t>
      </w:r>
      <w:r>
        <w:rPr>
          <w:rFonts w:hint="eastAsia" w:ascii="仿宋" w:hAnsi="仿宋" w:eastAsia="仿宋" w:cs="仿宋"/>
          <w:color w:val="auto"/>
          <w:sz w:val="32"/>
          <w:szCs w:val="32"/>
          <w:lang w:eastAsia="zh-CN"/>
        </w:rPr>
        <w:t>有效提升了校园</w:t>
      </w:r>
      <w:r>
        <w:rPr>
          <w:rFonts w:hint="eastAsia" w:ascii="仿宋" w:hAnsi="仿宋" w:eastAsia="仿宋" w:cs="仿宋"/>
          <w:color w:val="auto"/>
          <w:sz w:val="32"/>
          <w:szCs w:val="32"/>
        </w:rPr>
        <w:t>食品安全监管</w:t>
      </w:r>
      <w:r>
        <w:rPr>
          <w:rFonts w:hint="eastAsia" w:ascii="仿宋" w:hAnsi="仿宋" w:eastAsia="仿宋" w:cs="仿宋"/>
          <w:color w:val="auto"/>
          <w:sz w:val="32"/>
          <w:szCs w:val="32"/>
          <w:lang w:eastAsia="zh-CN"/>
        </w:rPr>
        <w:t>水平；积极</w:t>
      </w:r>
      <w:r>
        <w:rPr>
          <w:rFonts w:hint="eastAsia" w:ascii="仿宋" w:hAnsi="仿宋" w:eastAsia="仿宋" w:cs="仿宋"/>
          <w:color w:val="auto"/>
          <w:sz w:val="32"/>
          <w:szCs w:val="32"/>
        </w:rPr>
        <w:t>构筑</w:t>
      </w:r>
      <w:r>
        <w:rPr>
          <w:rFonts w:hint="eastAsia" w:ascii="仿宋" w:hAnsi="仿宋" w:eastAsia="仿宋" w:cs="仿宋"/>
          <w:color w:val="auto"/>
          <w:sz w:val="32"/>
          <w:szCs w:val="32"/>
          <w:lang w:eastAsia="zh-CN"/>
        </w:rPr>
        <w:t>农贸市场</w:t>
      </w:r>
      <w:r>
        <w:rPr>
          <w:rFonts w:hint="eastAsia" w:ascii="仿宋" w:hAnsi="仿宋" w:eastAsia="仿宋" w:cs="仿宋"/>
          <w:color w:val="auto"/>
          <w:sz w:val="32"/>
          <w:szCs w:val="32"/>
        </w:rPr>
        <w:t>食用农产品“互联网+快检监测”监管模式，</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快检</w:t>
      </w:r>
      <w:r>
        <w:rPr>
          <w:rFonts w:hint="eastAsia" w:ascii="仿宋" w:hAnsi="仿宋" w:eastAsia="仿宋" w:cs="仿宋"/>
          <w:color w:val="auto"/>
          <w:sz w:val="32"/>
          <w:szCs w:val="32"/>
          <w:lang w:eastAsia="zh-CN"/>
        </w:rPr>
        <w:t>的市场</w:t>
      </w:r>
      <w:r>
        <w:rPr>
          <w:rFonts w:hint="eastAsia" w:ascii="仿宋" w:hAnsi="仿宋" w:eastAsia="仿宋" w:cs="仿宋"/>
          <w:color w:val="auto"/>
          <w:sz w:val="32"/>
          <w:szCs w:val="32"/>
        </w:rPr>
        <w:t>数居全区</w:t>
      </w:r>
      <w:r>
        <w:rPr>
          <w:rFonts w:hint="eastAsia" w:ascii="仿宋" w:hAnsi="仿宋" w:eastAsia="仿宋" w:cs="仿宋"/>
          <w:color w:val="auto"/>
          <w:sz w:val="32"/>
          <w:szCs w:val="32"/>
          <w:lang w:eastAsia="zh-CN"/>
        </w:rPr>
        <w:t>首位；</w:t>
      </w:r>
      <w:r>
        <w:rPr>
          <w:rFonts w:hint="eastAsia" w:ascii="仿宋" w:hAnsi="仿宋" w:eastAsia="仿宋" w:cs="仿宋"/>
          <w:b w:val="0"/>
          <w:i w:val="0"/>
          <w:caps w:val="0"/>
          <w:color w:val="auto"/>
          <w:spacing w:val="0"/>
          <w:kern w:val="0"/>
          <w:sz w:val="32"/>
          <w:szCs w:val="32"/>
          <w:u w:val="none"/>
          <w:lang w:val="en-US" w:eastAsia="zh-CN" w:bidi="ar"/>
        </w:rPr>
        <w:t xml:space="preserve">积极开展柳州螺蛳粉质量抽检和专项整治，抽检合格率达97%，持续提升地方特色产业质量水平。  </w:t>
      </w:r>
    </w:p>
    <w:p w14:paraId="37185736">
      <w:pPr>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rPr>
          <w:rFonts w:hint="eastAsia"/>
          <w:color w:val="auto"/>
          <w:lang w:val="en-US" w:eastAsia="zh-CN"/>
        </w:rPr>
      </w:pPr>
      <w:r>
        <w:rPr>
          <w:rFonts w:hint="eastAsia" w:ascii="仿宋" w:hAnsi="仿宋" w:eastAsia="仿宋" w:cs="仿宋"/>
          <w:b/>
          <w:bCs/>
          <w:i w:val="0"/>
          <w:caps w:val="0"/>
          <w:color w:val="auto"/>
          <w:spacing w:val="0"/>
          <w:kern w:val="0"/>
          <w:sz w:val="32"/>
          <w:szCs w:val="32"/>
          <w:u w:val="none"/>
          <w:lang w:val="en-US" w:eastAsia="zh-CN" w:bidi="ar"/>
        </w:rPr>
        <w:t>2.加强“两品一械”安全监管。</w:t>
      </w:r>
      <w:r>
        <w:rPr>
          <w:rFonts w:hint="eastAsia" w:ascii="仿宋" w:hAnsi="仿宋" w:eastAsia="仿宋" w:cs="仿宋"/>
          <w:b w:val="0"/>
          <w:bCs w:val="0"/>
          <w:color w:val="auto"/>
          <w:spacing w:val="0"/>
          <w:sz w:val="32"/>
          <w:szCs w:val="32"/>
          <w:lang w:eastAsia="zh-CN"/>
        </w:rPr>
        <w:t>药品、化妆品、医疗器械监管守住了不发生系统性区域性重大安全底线，保障了公众药械安全，</w:t>
      </w:r>
      <w:r>
        <w:rPr>
          <w:rFonts w:hint="eastAsia" w:ascii="仿宋" w:hAnsi="仿宋" w:eastAsia="仿宋" w:cs="仿宋"/>
          <w:b w:val="0"/>
          <w:bCs w:val="0"/>
          <w:i w:val="0"/>
          <w:caps w:val="0"/>
          <w:color w:val="auto"/>
          <w:spacing w:val="0"/>
          <w:kern w:val="0"/>
          <w:sz w:val="32"/>
          <w:szCs w:val="32"/>
          <w:u w:val="none"/>
          <w:lang w:val="en-US" w:eastAsia="zh-CN" w:bidi="ar"/>
        </w:rPr>
        <w:t>分类别开展</w:t>
      </w:r>
      <w:r>
        <w:rPr>
          <w:rFonts w:hint="eastAsia" w:ascii="仿宋" w:hAnsi="仿宋" w:eastAsia="仿宋" w:cs="仿宋"/>
          <w:color w:val="auto"/>
          <w:sz w:val="32"/>
          <w:szCs w:val="32"/>
        </w:rPr>
        <w:t>药品、化妆品、医疗器械监管</w:t>
      </w:r>
      <w:r>
        <w:rPr>
          <w:rFonts w:hint="eastAsia" w:ascii="仿宋" w:hAnsi="仿宋" w:eastAsia="仿宋" w:cs="仿宋"/>
          <w:color w:val="auto"/>
          <w:sz w:val="32"/>
          <w:szCs w:val="32"/>
          <w:lang w:eastAsia="zh-CN"/>
        </w:rPr>
        <w:t>，组织</w:t>
      </w:r>
      <w:r>
        <w:rPr>
          <w:rFonts w:hint="eastAsia" w:ascii="仿宋" w:hAnsi="仿宋" w:eastAsia="仿宋" w:cs="仿宋"/>
          <w:color w:val="auto"/>
          <w:sz w:val="32"/>
          <w:szCs w:val="32"/>
        </w:rPr>
        <w:t>开展执业药师“挂证”</w:t>
      </w:r>
      <w:r>
        <w:rPr>
          <w:rFonts w:hint="eastAsia" w:ascii="仿宋" w:hAnsi="仿宋" w:eastAsia="仿宋" w:cs="仿宋"/>
          <w:color w:val="auto"/>
          <w:sz w:val="32"/>
          <w:szCs w:val="32"/>
          <w:lang w:eastAsia="zh-CN"/>
        </w:rPr>
        <w:t>、经营使用无菌和植入性医疗器械</w:t>
      </w:r>
      <w:r>
        <w:rPr>
          <w:rFonts w:hint="eastAsia" w:ascii="仿宋" w:hAnsi="仿宋" w:eastAsia="仿宋" w:cs="仿宋"/>
          <w:color w:val="auto"/>
          <w:sz w:val="32"/>
          <w:szCs w:val="32"/>
        </w:rPr>
        <w:t>等专项整治，</w:t>
      </w:r>
      <w:r>
        <w:rPr>
          <w:rFonts w:hint="eastAsia" w:ascii="仿宋" w:hAnsi="仿宋" w:eastAsia="仿宋" w:cs="仿宋"/>
          <w:color w:val="auto"/>
          <w:sz w:val="32"/>
          <w:szCs w:val="32"/>
          <w:lang w:eastAsia="zh-CN"/>
        </w:rPr>
        <w:t>推行医疗器械生产经营企业信用分级分类监管</w:t>
      </w:r>
      <w:r>
        <w:rPr>
          <w:rFonts w:hint="eastAsia" w:ascii="仿宋" w:hAnsi="仿宋" w:eastAsia="仿宋" w:cs="仿宋"/>
          <w:color w:val="auto"/>
          <w:sz w:val="32"/>
          <w:szCs w:val="32"/>
        </w:rPr>
        <w:t>，加大飞行检查力度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严厉打击违法违规行为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药品、医疗器械监管实现全覆盖，</w:t>
      </w:r>
      <w:r>
        <w:rPr>
          <w:rFonts w:hint="eastAsia" w:ascii="仿宋" w:hAnsi="仿宋" w:eastAsia="仿宋" w:cs="仿宋"/>
          <w:color w:val="auto"/>
          <w:sz w:val="32"/>
          <w:szCs w:val="32"/>
          <w:lang w:eastAsia="zh-CN"/>
        </w:rPr>
        <w:t>化妆品监管</w:t>
      </w:r>
      <w:r>
        <w:rPr>
          <w:rFonts w:hint="eastAsia" w:ascii="仿宋_GB2312" w:hAnsi="仿宋_GB2312" w:eastAsia="仿宋_GB2312" w:cs="仿宋_GB2312"/>
          <w:color w:val="auto"/>
          <w:sz w:val="32"/>
          <w:szCs w:val="32"/>
          <w:lang w:val="en-US" w:eastAsia="zh-CN"/>
        </w:rPr>
        <w:t>着力加强</w:t>
      </w:r>
      <w:r>
        <w:rPr>
          <w:rFonts w:hint="eastAsia" w:ascii="仿宋" w:hAnsi="仿宋" w:eastAsia="仿宋" w:cs="仿宋"/>
          <w:b w:val="0"/>
          <w:i w:val="0"/>
          <w:color w:val="auto"/>
          <w:spacing w:val="0"/>
          <w:sz w:val="32"/>
          <w:szCs w:val="32"/>
          <w:lang w:val="en-US" w:eastAsia="zh-CN"/>
        </w:rPr>
        <w:t>信用分类管理</w:t>
      </w:r>
      <w:r>
        <w:rPr>
          <w:rFonts w:hint="eastAsia" w:ascii="仿宋_GB2312" w:hAnsi="仿宋_GB2312" w:eastAsia="仿宋_GB2312" w:cs="仿宋_GB2312"/>
          <w:color w:val="auto"/>
          <w:sz w:val="32"/>
          <w:szCs w:val="32"/>
          <w:lang w:val="en-US" w:eastAsia="zh-CN"/>
        </w:rPr>
        <w:t>和社会共治建设</w:t>
      </w:r>
      <w:r>
        <w:rPr>
          <w:rFonts w:hint="eastAsia" w:ascii="仿宋" w:hAnsi="仿宋" w:eastAsia="仿宋" w:cs="仿宋"/>
          <w:b w:val="0"/>
          <w:i w:val="0"/>
          <w:color w:val="auto"/>
          <w:spacing w:val="0"/>
          <w:sz w:val="32"/>
          <w:szCs w:val="32"/>
          <w:lang w:val="en-US" w:eastAsia="zh-CN"/>
        </w:rPr>
        <w:t>，</w:t>
      </w:r>
      <w:r>
        <w:rPr>
          <w:rFonts w:hint="eastAsia" w:ascii="仿宋" w:hAnsi="仿宋" w:eastAsia="仿宋" w:cs="仿宋"/>
          <w:b w:val="0"/>
          <w:i w:val="0"/>
          <w:color w:val="auto"/>
          <w:spacing w:val="0"/>
          <w:sz w:val="32"/>
          <w:szCs w:val="32"/>
          <w:lang w:eastAsia="zh-CN"/>
        </w:rPr>
        <w:t>全市化妆品生产企业连续</w:t>
      </w:r>
      <w:r>
        <w:rPr>
          <w:rFonts w:hint="eastAsia" w:ascii="仿宋" w:hAnsi="仿宋" w:eastAsia="仿宋" w:cs="仿宋"/>
          <w:b w:val="0"/>
          <w:i w:val="0"/>
          <w:color w:val="auto"/>
          <w:spacing w:val="0"/>
          <w:sz w:val="32"/>
          <w:szCs w:val="32"/>
          <w:lang w:val="en-US" w:eastAsia="zh-CN"/>
        </w:rPr>
        <w:t>5年评为</w:t>
      </w:r>
      <w:r>
        <w:rPr>
          <w:rFonts w:hint="eastAsia" w:ascii="仿宋" w:hAnsi="仿宋" w:eastAsia="仿宋" w:cs="仿宋"/>
          <w:b w:val="0"/>
          <w:i w:val="0"/>
          <w:color w:val="auto"/>
          <w:spacing w:val="0"/>
          <w:sz w:val="32"/>
          <w:szCs w:val="32"/>
          <w:lang w:eastAsia="zh-CN"/>
        </w:rPr>
        <w:t>全区化妆品生产企业信用等级“守信（A级）”，</w:t>
      </w:r>
      <w:r>
        <w:rPr>
          <w:rFonts w:hint="eastAsia" w:ascii="仿宋_GB2312" w:hAnsi="黑体" w:eastAsia="仿宋_GB2312"/>
          <w:color w:val="auto"/>
          <w:sz w:val="32"/>
          <w:szCs w:val="32"/>
          <w:lang w:eastAsia="zh-CN"/>
        </w:rPr>
        <w:t>“柳州五星步行街”创建成为</w:t>
      </w:r>
      <w:r>
        <w:rPr>
          <w:rFonts w:hint="eastAsia" w:ascii="仿宋_GB2312" w:hAnsi="黑体" w:eastAsia="仿宋_GB2312"/>
          <w:color w:val="auto"/>
          <w:sz w:val="32"/>
          <w:szCs w:val="32"/>
          <w:lang w:val="en-US" w:eastAsia="zh-CN"/>
        </w:rPr>
        <w:t>自治区级化妆品经营示范区试点，</w:t>
      </w:r>
      <w:r>
        <w:rPr>
          <w:rFonts w:hint="eastAsia" w:ascii="仿宋_GB2312" w:hAnsi="仿宋_GB2312" w:eastAsia="仿宋_GB2312" w:cs="仿宋_GB2312"/>
          <w:color w:val="auto"/>
          <w:sz w:val="32"/>
          <w:szCs w:val="32"/>
          <w:lang w:val="en-US" w:eastAsia="zh-CN"/>
        </w:rPr>
        <w:t>探索建立了化妆品经营管理长效监管机制，</w:t>
      </w:r>
      <w:r>
        <w:rPr>
          <w:rFonts w:hint="eastAsia" w:ascii="仿宋" w:hAnsi="仿宋" w:eastAsia="仿宋" w:cs="仿宋"/>
          <w:b w:val="0"/>
          <w:bCs w:val="0"/>
          <w:color w:val="auto"/>
          <w:sz w:val="32"/>
          <w:szCs w:val="32"/>
          <w:lang w:val="en-US" w:eastAsia="zh-CN"/>
        </w:rPr>
        <w:t>有效防范了安全风险。同时</w:t>
      </w:r>
      <w:r>
        <w:rPr>
          <w:rFonts w:hint="eastAsia" w:ascii="仿宋" w:hAnsi="仿宋" w:eastAsia="仿宋" w:cs="仿宋"/>
          <w:b w:val="0"/>
          <w:bCs w:val="0"/>
          <w:color w:val="auto"/>
          <w:spacing w:val="0"/>
          <w:sz w:val="32"/>
          <w:szCs w:val="32"/>
          <w:lang w:eastAsia="zh-CN"/>
        </w:rPr>
        <w:t>不断提升</w:t>
      </w:r>
      <w:r>
        <w:rPr>
          <w:rFonts w:hint="eastAsia" w:ascii="仿宋" w:hAnsi="仿宋" w:eastAsia="仿宋" w:cs="仿宋"/>
          <w:b w:val="0"/>
          <w:bCs w:val="0"/>
          <w:color w:val="auto"/>
          <w:spacing w:val="0"/>
          <w:sz w:val="32"/>
          <w:szCs w:val="32"/>
        </w:rPr>
        <w:t>不良反应监测</w:t>
      </w:r>
      <w:r>
        <w:rPr>
          <w:rFonts w:hint="eastAsia" w:ascii="仿宋" w:hAnsi="仿宋" w:eastAsia="仿宋" w:cs="仿宋"/>
          <w:b w:val="0"/>
          <w:bCs w:val="0"/>
          <w:color w:val="auto"/>
          <w:spacing w:val="0"/>
          <w:sz w:val="32"/>
          <w:szCs w:val="32"/>
          <w:lang w:eastAsia="zh-CN"/>
        </w:rPr>
        <w:t>水平，</w:t>
      </w:r>
      <w:r>
        <w:rPr>
          <w:rFonts w:hint="eastAsia" w:ascii="仿宋" w:hAnsi="仿宋" w:eastAsia="仿宋" w:cs="仿宋"/>
          <w:color w:val="auto"/>
          <w:sz w:val="32"/>
          <w:szCs w:val="32"/>
          <w:lang w:eastAsia="zh-CN"/>
        </w:rPr>
        <w:t>全</w:t>
      </w:r>
      <w:r>
        <w:rPr>
          <w:rFonts w:hint="eastAsia" w:ascii="仿宋" w:hAnsi="仿宋" w:eastAsia="仿宋" w:cs="仿宋"/>
          <w:color w:val="auto"/>
          <w:sz w:val="32"/>
          <w:szCs w:val="32"/>
        </w:rPr>
        <w:t>市</w:t>
      </w:r>
      <w:r>
        <w:rPr>
          <w:rFonts w:hint="eastAsia" w:ascii="仿宋" w:hAnsi="仿宋" w:eastAsia="仿宋" w:cs="仿宋"/>
          <w:color w:val="auto"/>
          <w:sz w:val="32"/>
          <w:szCs w:val="32"/>
          <w:lang w:eastAsia="zh-CN"/>
        </w:rPr>
        <w:t>建成</w:t>
      </w: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个</w:t>
      </w:r>
      <w:r>
        <w:rPr>
          <w:rFonts w:hint="eastAsia" w:ascii="仿宋" w:hAnsi="仿宋" w:eastAsia="仿宋" w:cs="仿宋"/>
          <w:color w:val="auto"/>
          <w:sz w:val="32"/>
          <w:szCs w:val="32"/>
        </w:rPr>
        <w:t>国家药品不良反应监测哨点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数量在全区排名第一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药品</w:t>
      </w:r>
      <w:r>
        <w:rPr>
          <w:rFonts w:hint="eastAsia" w:ascii="仿宋" w:hAnsi="仿宋" w:eastAsia="仿宋" w:cs="仿宋"/>
          <w:color w:val="auto"/>
          <w:sz w:val="32"/>
          <w:szCs w:val="32"/>
          <w:lang w:eastAsia="zh-CN"/>
        </w:rPr>
        <w:t>、化妆品</w:t>
      </w:r>
      <w:r>
        <w:rPr>
          <w:rFonts w:hint="eastAsia" w:ascii="仿宋" w:hAnsi="仿宋" w:eastAsia="仿宋" w:cs="仿宋"/>
          <w:color w:val="auto"/>
          <w:sz w:val="32"/>
          <w:szCs w:val="32"/>
        </w:rPr>
        <w:t>不良反应监测</w:t>
      </w:r>
      <w:r>
        <w:rPr>
          <w:rFonts w:hint="eastAsia" w:ascii="仿宋" w:hAnsi="仿宋" w:eastAsia="仿宋" w:cs="仿宋"/>
          <w:color w:val="auto"/>
          <w:sz w:val="32"/>
          <w:szCs w:val="32"/>
          <w:lang w:eastAsia="zh-CN"/>
        </w:rPr>
        <w:t>报告和</w:t>
      </w:r>
      <w:r>
        <w:rPr>
          <w:rFonts w:hint="eastAsia" w:ascii="仿宋" w:hAnsi="仿宋" w:eastAsia="仿宋" w:cs="仿宋"/>
          <w:color w:val="auto"/>
          <w:sz w:val="32"/>
          <w:szCs w:val="32"/>
        </w:rPr>
        <w:t>医疗器械不良事件</w:t>
      </w:r>
      <w:r>
        <w:rPr>
          <w:rFonts w:hint="eastAsia" w:ascii="仿宋" w:hAnsi="仿宋" w:eastAsia="仿宋" w:cs="仿宋"/>
          <w:color w:val="auto"/>
          <w:sz w:val="32"/>
          <w:szCs w:val="32"/>
          <w:lang w:eastAsia="zh-CN"/>
        </w:rPr>
        <w:t>监测</w:t>
      </w:r>
      <w:r>
        <w:rPr>
          <w:rFonts w:hint="eastAsia" w:ascii="仿宋" w:hAnsi="仿宋" w:eastAsia="仿宋" w:cs="仿宋"/>
          <w:color w:val="auto"/>
          <w:sz w:val="32"/>
          <w:szCs w:val="32"/>
        </w:rPr>
        <w:t>报告</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3项指标</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分别超额</w:t>
      </w:r>
      <w:r>
        <w:rPr>
          <w:rFonts w:hint="eastAsia" w:ascii="仿宋" w:hAnsi="仿宋" w:eastAsia="仿宋" w:cs="仿宋"/>
          <w:color w:val="auto"/>
          <w:sz w:val="32"/>
          <w:szCs w:val="32"/>
        </w:rPr>
        <w:t>完成</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自治区</w:t>
      </w:r>
      <w:r>
        <w:rPr>
          <w:rFonts w:hint="eastAsia" w:ascii="仿宋" w:hAnsi="仿宋" w:eastAsia="仿宋" w:cs="仿宋"/>
          <w:color w:val="auto"/>
          <w:sz w:val="32"/>
          <w:szCs w:val="32"/>
          <w:lang w:eastAsia="zh-CN"/>
        </w:rPr>
        <w:t>目标的</w:t>
      </w:r>
      <w:r>
        <w:rPr>
          <w:rFonts w:hint="eastAsia" w:ascii="仿宋" w:hAnsi="仿宋" w:eastAsia="仿宋" w:cs="仿宋"/>
          <w:color w:val="auto"/>
          <w:sz w:val="32"/>
          <w:szCs w:val="32"/>
        </w:rPr>
        <w:t>140.43%、420.63%和</w:t>
      </w:r>
      <w:r>
        <w:rPr>
          <w:rFonts w:hint="eastAsia" w:ascii="仿宋_GB2312" w:hAnsi="仿宋_GB2312" w:eastAsia="仿宋_GB2312" w:cs="仿宋_GB2312"/>
          <w:b w:val="0"/>
          <w:bCs w:val="0"/>
          <w:color w:val="auto"/>
          <w:kern w:val="0"/>
          <w:sz w:val="32"/>
          <w:szCs w:val="32"/>
          <w:lang w:val="en-US" w:eastAsia="zh-CN" w:bidi="ar-SA"/>
        </w:rPr>
        <w:t>259.58</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rPr>
        <w:t>医疗器械不良事件</w:t>
      </w:r>
      <w:r>
        <w:rPr>
          <w:rFonts w:hint="eastAsia" w:ascii="仿宋" w:hAnsi="仿宋" w:eastAsia="仿宋" w:cs="仿宋"/>
          <w:color w:val="auto"/>
          <w:sz w:val="32"/>
          <w:szCs w:val="32"/>
          <w:lang w:eastAsia="zh-CN"/>
        </w:rPr>
        <w:t>监测</w:t>
      </w:r>
      <w:r>
        <w:rPr>
          <w:rFonts w:hint="eastAsia" w:ascii="仿宋_GB2312" w:hAnsi="仿宋_GB2312" w:eastAsia="仿宋_GB2312" w:cs="仿宋_GB2312"/>
          <w:b w:val="0"/>
          <w:bCs w:val="0"/>
          <w:color w:val="auto"/>
          <w:kern w:val="0"/>
          <w:sz w:val="32"/>
          <w:szCs w:val="32"/>
          <w:lang w:val="en-US" w:eastAsia="zh-CN" w:bidi="ar-SA"/>
        </w:rPr>
        <w:t>报告总数和每百万人口上报数均为全区第一</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pacing w:val="0"/>
          <w:sz w:val="32"/>
          <w:szCs w:val="32"/>
        </w:rPr>
        <w:t>不良反应监测</w:t>
      </w:r>
      <w:r>
        <w:rPr>
          <w:rFonts w:hint="eastAsia" w:ascii="仿宋" w:hAnsi="仿宋" w:eastAsia="仿宋" w:cs="仿宋"/>
          <w:b w:val="0"/>
          <w:bCs w:val="0"/>
          <w:color w:val="auto"/>
          <w:sz w:val="32"/>
          <w:szCs w:val="32"/>
          <w:lang w:val="en-US" w:eastAsia="zh-CN"/>
        </w:rPr>
        <w:t>工作继续保持</w:t>
      </w:r>
      <w:r>
        <w:rPr>
          <w:rFonts w:hint="eastAsia" w:ascii="仿宋" w:hAnsi="仿宋" w:eastAsia="仿宋" w:cs="仿宋"/>
          <w:b w:val="0"/>
          <w:bCs w:val="0"/>
          <w:color w:val="auto"/>
          <w:sz w:val="32"/>
          <w:szCs w:val="32"/>
        </w:rPr>
        <w:t>全区领先</w:t>
      </w:r>
      <w:r>
        <w:rPr>
          <w:rFonts w:hint="eastAsia" w:ascii="仿宋" w:hAnsi="仿宋" w:eastAsia="仿宋" w:cs="仿宋"/>
          <w:b w:val="0"/>
          <w:bCs w:val="0"/>
          <w:color w:val="auto"/>
          <w:sz w:val="32"/>
          <w:szCs w:val="32"/>
          <w:lang w:eastAsia="zh-CN"/>
        </w:rPr>
        <w:t>地位。</w:t>
      </w:r>
    </w:p>
    <w:p w14:paraId="1D08CA58">
      <w:pPr>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i w:val="0"/>
          <w:caps w:val="0"/>
          <w:color w:val="auto"/>
          <w:spacing w:val="0"/>
          <w:kern w:val="0"/>
          <w:sz w:val="32"/>
          <w:szCs w:val="32"/>
          <w:u w:val="none"/>
          <w:lang w:val="en-US" w:eastAsia="zh-CN" w:bidi="ar"/>
        </w:rPr>
        <w:t>3.加强</w:t>
      </w:r>
      <w:r>
        <w:rPr>
          <w:rFonts w:hint="eastAsia" w:ascii="仿宋" w:hAnsi="仿宋" w:eastAsia="仿宋" w:cs="仿宋"/>
          <w:b/>
          <w:bCs w:val="0"/>
          <w:i w:val="0"/>
          <w:caps w:val="0"/>
          <w:color w:val="auto"/>
          <w:spacing w:val="0"/>
          <w:kern w:val="0"/>
          <w:sz w:val="32"/>
          <w:szCs w:val="32"/>
          <w:u w:val="none"/>
          <w:lang w:val="en-US" w:eastAsia="zh-CN" w:bidi="ar"/>
        </w:rPr>
        <w:t>特种设备安全监管。</w:t>
      </w:r>
      <w:r>
        <w:rPr>
          <w:rFonts w:hint="eastAsia" w:ascii="仿宋" w:hAnsi="仿宋" w:eastAsia="仿宋" w:cs="仿宋"/>
          <w:color w:val="auto"/>
          <w:sz w:val="32"/>
          <w:szCs w:val="32"/>
          <w:lang w:val="en-US" w:eastAsia="zh-CN"/>
        </w:rPr>
        <w:t>特种设备安全监管向基层延伸，力量不断加强，执证的安全监察员从2015年24人增至2020年189人；特种设备日常监督检查力度得到加强，2015年全年检查特种设备使用单位883家次，2019年增至1116家次；探索特种设备监管模式，建成了电</w:t>
      </w:r>
      <w:r>
        <w:rPr>
          <w:rFonts w:hint="eastAsia" w:ascii="仿宋" w:hAnsi="仿宋" w:eastAsia="仿宋" w:cs="仿宋"/>
          <w:color w:val="auto"/>
          <w:sz w:val="32"/>
          <w:szCs w:val="32"/>
        </w:rPr>
        <w:t>梯应急处置服务平台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电梯</w:t>
      </w:r>
      <w:r>
        <w:rPr>
          <w:rFonts w:hint="eastAsia" w:ascii="仿宋" w:hAnsi="仿宋" w:eastAsia="仿宋" w:cs="仿宋"/>
          <w:color w:val="auto"/>
          <w:sz w:val="32"/>
          <w:szCs w:val="32"/>
        </w:rPr>
        <w:t>救援用时比法定时间缩短了54.4%，取得了良好的社会效益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柳州模式成为全区典型；特种设备安全形势日趋平稳，十三五期间未发生重大以上特种设备安全事故。</w:t>
      </w:r>
    </w:p>
    <w:p w14:paraId="18137C60">
      <w:pPr>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rPr>
          <w:rFonts w:hint="eastAsia" w:ascii="仿宋" w:hAnsi="仿宋" w:eastAsia="仿宋" w:cs="仿宋"/>
          <w:b/>
          <w:bCs w:val="0"/>
          <w:i w:val="0"/>
          <w:caps w:val="0"/>
          <w:color w:val="auto"/>
          <w:spacing w:val="0"/>
          <w:kern w:val="0"/>
          <w:sz w:val="32"/>
          <w:szCs w:val="32"/>
          <w:u w:val="none"/>
          <w:lang w:val="en-US" w:eastAsia="zh-CN" w:bidi="ar"/>
        </w:rPr>
      </w:pPr>
      <w:r>
        <w:rPr>
          <w:rFonts w:hint="eastAsia" w:ascii="仿宋" w:hAnsi="仿宋" w:eastAsia="仿宋" w:cs="仿宋"/>
          <w:b/>
          <w:bCs w:val="0"/>
          <w:i w:val="0"/>
          <w:caps w:val="0"/>
          <w:color w:val="auto"/>
          <w:spacing w:val="0"/>
          <w:kern w:val="0"/>
          <w:sz w:val="32"/>
          <w:szCs w:val="32"/>
          <w:u w:val="none"/>
          <w:lang w:val="en-US" w:eastAsia="zh-CN" w:bidi="ar"/>
        </w:rPr>
        <w:t>（五）夯实党的建设和干部队伍建设，保障市场监管事业发展。</w:t>
      </w:r>
    </w:p>
    <w:p w14:paraId="7A05AA03">
      <w:pPr>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eastAsia" w:ascii="仿宋" w:hAnsi="仿宋" w:eastAsia="仿宋" w:cs="仿宋"/>
          <w:b w:val="0"/>
          <w:bCs w:val="0"/>
          <w:color w:val="auto"/>
          <w:kern w:val="0"/>
          <w:sz w:val="32"/>
          <w:szCs w:val="32"/>
          <w:lang w:eastAsia="zh-CN" w:bidi="ar"/>
        </w:rPr>
      </w:pPr>
      <w:r>
        <w:rPr>
          <w:rFonts w:hint="eastAsia" w:ascii="仿宋" w:hAnsi="仿宋" w:eastAsia="仿宋" w:cs="仿宋"/>
          <w:b w:val="0"/>
          <w:bCs w:val="0"/>
          <w:color w:val="auto"/>
          <w:sz w:val="32"/>
          <w:szCs w:val="32"/>
          <w:lang w:eastAsia="zh-CN"/>
        </w:rPr>
        <w:t>柳州市市场监管局党组</w:t>
      </w:r>
      <w:r>
        <w:rPr>
          <w:rFonts w:hint="eastAsia" w:ascii="仿宋" w:hAnsi="仿宋" w:eastAsia="仿宋" w:cs="仿宋"/>
          <w:b w:val="0"/>
          <w:bCs w:val="0"/>
          <w:color w:val="auto"/>
          <w:sz w:val="32"/>
          <w:szCs w:val="32"/>
        </w:rPr>
        <w:t>坚持以党的政治建设为统领，牢固树立“四个意识”，坚定“四个自信”，坚决做到“两个维护”</w:t>
      </w:r>
      <w:r>
        <w:rPr>
          <w:rFonts w:hint="eastAsia" w:ascii="仿宋" w:hAnsi="仿宋" w:eastAsia="仿宋" w:cs="仿宋"/>
          <w:b w:val="0"/>
          <w:bCs w:val="0"/>
          <w:color w:val="auto"/>
          <w:sz w:val="32"/>
          <w:szCs w:val="32"/>
          <w:lang w:eastAsia="zh-CN"/>
        </w:rPr>
        <w:t>，进一步</w:t>
      </w:r>
      <w:r>
        <w:rPr>
          <w:rFonts w:hint="eastAsia" w:ascii="仿宋" w:hAnsi="仿宋" w:eastAsia="仿宋" w:cs="仿宋"/>
          <w:b w:val="0"/>
          <w:bCs w:val="0"/>
          <w:color w:val="auto"/>
          <w:sz w:val="32"/>
          <w:szCs w:val="32"/>
        </w:rPr>
        <w:t>加强</w:t>
      </w:r>
      <w:r>
        <w:rPr>
          <w:rFonts w:hint="eastAsia" w:ascii="仿宋" w:hAnsi="仿宋" w:eastAsia="仿宋" w:cs="仿宋"/>
          <w:b w:val="0"/>
          <w:bCs w:val="0"/>
          <w:color w:val="auto"/>
          <w:sz w:val="32"/>
          <w:szCs w:val="32"/>
          <w:lang w:eastAsia="zh-CN"/>
        </w:rPr>
        <w:t>党员的</w:t>
      </w:r>
      <w:r>
        <w:rPr>
          <w:rFonts w:hint="eastAsia" w:ascii="仿宋" w:hAnsi="仿宋" w:eastAsia="仿宋" w:cs="仿宋"/>
          <w:b w:val="0"/>
          <w:bCs w:val="0"/>
          <w:color w:val="auto"/>
          <w:sz w:val="32"/>
          <w:szCs w:val="32"/>
        </w:rPr>
        <w:t>思想建设</w:t>
      </w:r>
      <w:r>
        <w:rPr>
          <w:rFonts w:hint="eastAsia" w:ascii="仿宋" w:hAnsi="仿宋" w:eastAsia="仿宋" w:cs="仿宋"/>
          <w:b w:val="0"/>
          <w:bCs w:val="0"/>
          <w:color w:val="auto"/>
          <w:sz w:val="32"/>
          <w:szCs w:val="32"/>
          <w:lang w:eastAsia="zh-CN"/>
        </w:rPr>
        <w:t>和</w:t>
      </w:r>
      <w:r>
        <w:rPr>
          <w:rFonts w:hint="eastAsia" w:ascii="仿宋" w:hAnsi="仿宋" w:eastAsia="仿宋" w:cs="仿宋"/>
          <w:b w:val="0"/>
          <w:bCs w:val="0"/>
          <w:color w:val="auto"/>
          <w:sz w:val="32"/>
          <w:szCs w:val="32"/>
          <w:lang w:val="zh-CN"/>
        </w:rPr>
        <w:t>作风建设，</w:t>
      </w:r>
      <w:r>
        <w:rPr>
          <w:rFonts w:hint="eastAsia" w:ascii="仿宋" w:hAnsi="仿宋" w:eastAsia="仿宋" w:cs="仿宋"/>
          <w:color w:val="auto"/>
          <w:sz w:val="32"/>
          <w:szCs w:val="32"/>
        </w:rPr>
        <w:t>扎实开展“不忘初心、牢记使命”主题教育</w:t>
      </w:r>
      <w:r>
        <w:rPr>
          <w:rFonts w:hint="eastAsia" w:ascii="仿宋" w:hAnsi="仿宋" w:eastAsia="仿宋" w:cs="仿宋"/>
          <w:b w:val="0"/>
          <w:bCs w:val="0"/>
          <w:color w:val="auto"/>
          <w:sz w:val="32"/>
          <w:szCs w:val="32"/>
          <w:lang w:val="zh-TW" w:eastAsia="zh-CN"/>
        </w:rPr>
        <w:t>，</w:t>
      </w:r>
      <w:r>
        <w:rPr>
          <w:rFonts w:hint="eastAsia" w:ascii="仿宋" w:hAnsi="仿宋" w:eastAsia="仿宋" w:cs="仿宋"/>
          <w:color w:val="auto"/>
          <w:sz w:val="32"/>
          <w:szCs w:val="32"/>
          <w:lang w:val="en-US" w:eastAsia="zh-CN"/>
        </w:rPr>
        <w:t>创新</w:t>
      </w:r>
      <w:r>
        <w:rPr>
          <w:rFonts w:hint="eastAsia" w:ascii="仿宋" w:hAnsi="仿宋" w:eastAsia="仿宋" w:cs="仿宋"/>
          <w:color w:val="auto"/>
          <w:sz w:val="32"/>
          <w:szCs w:val="32"/>
        </w:rPr>
        <w:t>打造“党旗下的市场监管先锋”</w:t>
      </w:r>
      <w:r>
        <w:rPr>
          <w:rFonts w:hint="eastAsia" w:ascii="仿宋" w:hAnsi="仿宋" w:eastAsia="仿宋" w:cs="仿宋"/>
          <w:color w:val="auto"/>
          <w:sz w:val="32"/>
          <w:szCs w:val="32"/>
          <w:lang w:val="en-US" w:eastAsia="zh-CN"/>
        </w:rPr>
        <w:t>党建</w:t>
      </w:r>
      <w:r>
        <w:rPr>
          <w:rFonts w:hint="eastAsia" w:ascii="仿宋" w:hAnsi="仿宋" w:eastAsia="仿宋" w:cs="仿宋"/>
          <w:color w:val="auto"/>
          <w:sz w:val="32"/>
          <w:szCs w:val="32"/>
        </w:rPr>
        <w:t>品牌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成为第二批市直机关党建工作示范点和第一批党风廉政文化教育示范点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“小个专”党建工作</w:t>
      </w:r>
      <w:r>
        <w:rPr>
          <w:rFonts w:hint="eastAsia" w:ascii="仿宋" w:hAnsi="仿宋" w:eastAsia="仿宋" w:cs="仿宋"/>
          <w:color w:val="auto"/>
          <w:sz w:val="32"/>
          <w:szCs w:val="32"/>
          <w:lang w:eastAsia="zh-CN"/>
        </w:rPr>
        <w:t>成为全区典型</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主题教育活动被</w:t>
      </w:r>
      <w:r>
        <w:rPr>
          <w:rFonts w:hint="eastAsia" w:ascii="仿宋" w:hAnsi="仿宋" w:eastAsia="仿宋" w:cs="仿宋"/>
          <w:color w:val="auto"/>
          <w:sz w:val="32"/>
          <w:szCs w:val="32"/>
        </w:rPr>
        <w:t>市委指导组推荐为典型示范单位</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spacing w:val="0"/>
          <w:sz w:val="32"/>
          <w:szCs w:val="32"/>
          <w:lang w:eastAsia="zh-CN"/>
        </w:rPr>
        <w:t>班子和队伍建设</w:t>
      </w:r>
      <w:r>
        <w:rPr>
          <w:rFonts w:hint="eastAsia" w:ascii="仿宋" w:hAnsi="仿宋" w:eastAsia="仿宋" w:cs="仿宋"/>
          <w:b w:val="0"/>
          <w:bCs w:val="0"/>
          <w:color w:val="auto"/>
          <w:spacing w:val="0"/>
          <w:sz w:val="32"/>
          <w:szCs w:val="32"/>
          <w:lang w:val="en-US" w:eastAsia="zh-CN"/>
        </w:rPr>
        <w:t>得到不断加强</w:t>
      </w:r>
      <w:r>
        <w:rPr>
          <w:rFonts w:hint="eastAsia" w:ascii="仿宋" w:hAnsi="仿宋" w:eastAsia="仿宋" w:cs="仿宋"/>
          <w:b w:val="0"/>
          <w:bCs w:val="0"/>
          <w:color w:val="auto"/>
          <w:spacing w:val="0"/>
          <w:sz w:val="32"/>
          <w:szCs w:val="32"/>
          <w:lang w:eastAsia="zh-CN"/>
        </w:rPr>
        <w:t>，</w:t>
      </w:r>
      <w:r>
        <w:rPr>
          <w:rFonts w:hint="eastAsia" w:ascii="仿宋" w:hAnsi="仿宋" w:eastAsia="仿宋" w:cs="仿宋"/>
          <w:b w:val="0"/>
          <w:bCs w:val="0"/>
          <w:color w:val="auto"/>
          <w:spacing w:val="0"/>
          <w:sz w:val="32"/>
          <w:szCs w:val="32"/>
          <w:lang w:val="en-US" w:eastAsia="zh-CN"/>
        </w:rPr>
        <w:t>2019年柳州市场监管局</w:t>
      </w:r>
      <w:r>
        <w:rPr>
          <w:rFonts w:hint="eastAsia" w:ascii="仿宋" w:hAnsi="仿宋" w:eastAsia="仿宋" w:cs="仿宋"/>
          <w:bCs/>
          <w:color w:val="auto"/>
          <w:sz w:val="32"/>
          <w:szCs w:val="32"/>
          <w:lang w:eastAsia="zh-CN"/>
        </w:rPr>
        <w:t>分别获得</w:t>
      </w:r>
      <w:r>
        <w:rPr>
          <w:rFonts w:hint="eastAsia" w:ascii="仿宋" w:hAnsi="仿宋" w:eastAsia="仿宋" w:cs="仿宋"/>
          <w:color w:val="auto"/>
          <w:sz w:val="32"/>
          <w:szCs w:val="32"/>
        </w:rPr>
        <w:t>自治区推荐</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全国市场监管先进集体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市政府推荐为自治区激励干部担当作为先进集体</w:t>
      </w:r>
      <w:r>
        <w:rPr>
          <w:rFonts w:hint="eastAsia" w:ascii="仿宋" w:hAnsi="仿宋" w:eastAsia="仿宋" w:cs="仿宋"/>
          <w:color w:val="auto"/>
          <w:sz w:val="32"/>
          <w:szCs w:val="32"/>
          <w:lang w:eastAsia="zh-CN"/>
        </w:rPr>
        <w:t>，</w:t>
      </w:r>
      <w:r>
        <w:rPr>
          <w:rFonts w:hint="eastAsia" w:ascii="仿宋" w:hAnsi="仿宋" w:eastAsia="仿宋" w:cs="仿宋"/>
          <w:b w:val="0"/>
          <w:bCs w:val="0"/>
          <w:color w:val="auto"/>
          <w:kern w:val="0"/>
          <w:sz w:val="32"/>
          <w:szCs w:val="32"/>
          <w:lang w:eastAsia="zh-CN" w:bidi="ar"/>
        </w:rPr>
        <w:t>进一步树立了市场监管新的良好形象。</w:t>
      </w:r>
    </w:p>
    <w:p w14:paraId="049656F9">
      <w:pPr>
        <w:keepNext w:val="0"/>
        <w:keepLines w:val="0"/>
        <w:pageBreakBefore w:val="0"/>
        <w:widowControl w:val="0"/>
        <w:numPr>
          <w:ilvl w:val="0"/>
          <w:numId w:val="2"/>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spacing w:beforeAutospacing="0" w:afterAutospacing="0" w:line="540" w:lineRule="exact"/>
        <w:ind w:left="0" w:leftChars="0" w:right="0" w:righ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kern w:val="0"/>
          <w:sz w:val="32"/>
          <w:szCs w:val="32"/>
          <w:lang w:eastAsia="zh-CN" w:bidi="ar"/>
        </w:rPr>
        <w:t>执行过程中</w:t>
      </w:r>
      <w:r>
        <w:rPr>
          <w:rFonts w:hint="eastAsia" w:ascii="仿宋" w:hAnsi="仿宋" w:eastAsia="仿宋" w:cs="仿宋"/>
          <w:b/>
          <w:bCs/>
          <w:i w:val="0"/>
          <w:caps w:val="0"/>
          <w:color w:val="auto"/>
          <w:spacing w:val="0"/>
          <w:kern w:val="0"/>
          <w:sz w:val="32"/>
          <w:szCs w:val="32"/>
          <w:u w:val="none"/>
          <w:lang w:val="en-US" w:eastAsia="zh-CN" w:bidi="ar"/>
        </w:rPr>
        <w:t>存在的主要问题</w:t>
      </w:r>
    </w:p>
    <w:p w14:paraId="3D00A568">
      <w:pPr>
        <w:keepNext w:val="0"/>
        <w:keepLines w:val="0"/>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spacing w:beforeAutospacing="0" w:afterAutospacing="0" w:line="54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我局将继续按照</w:t>
      </w:r>
      <w:r>
        <w:rPr>
          <w:rFonts w:hint="eastAsia" w:ascii="仿宋" w:hAnsi="仿宋" w:eastAsia="仿宋" w:cs="仿宋"/>
          <w:color w:val="auto"/>
          <w:sz w:val="32"/>
          <w:szCs w:val="32"/>
          <w:lang w:val="en-US" w:eastAsia="zh-CN"/>
        </w:rPr>
        <w:t>按照《柳州市工商行政管理局“十三五”规划》、《柳州市质量技术监督事业第十三个五年规划》、《柳州市食品药品安全“十三五”规划》的总体思路、</w:t>
      </w:r>
      <w:r>
        <w:rPr>
          <w:rFonts w:hint="eastAsia" w:ascii="仿宋" w:hAnsi="仿宋" w:eastAsia="仿宋" w:cs="仿宋"/>
          <w:color w:val="auto"/>
          <w:sz w:val="32"/>
          <w:szCs w:val="32"/>
          <w:shd w:val="clear" w:fill="FFFFFF"/>
        </w:rPr>
        <w:t>重点任务开展工作，</w:t>
      </w:r>
      <w:r>
        <w:rPr>
          <w:rFonts w:hint="eastAsia" w:ascii="仿宋" w:hAnsi="仿宋" w:eastAsia="仿宋" w:cs="仿宋"/>
          <w:color w:val="auto"/>
          <w:kern w:val="0"/>
          <w:sz w:val="32"/>
          <w:szCs w:val="32"/>
          <w:shd w:val="clear" w:fill="FFFFFF"/>
          <w:lang w:val="en-US" w:eastAsia="zh-CN" w:bidi="ar"/>
        </w:rPr>
        <w:t xml:space="preserve">但在执行的过程中还存在一些困难，主要为： </w:t>
      </w:r>
    </w:p>
    <w:p w14:paraId="7B06B6B4">
      <w:pPr>
        <w:keepNext w:val="0"/>
        <w:keepLines w:val="0"/>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beforeAutospacing="0" w:afterAutospacing="0" w:line="540" w:lineRule="exact"/>
        <w:ind w:left="0" w:leftChars="0" w:right="0" w:rightChars="0" w:firstLine="643" w:firstLineChars="200"/>
        <w:jc w:val="both"/>
        <w:textAlignment w:val="auto"/>
        <w:rPr>
          <w:rFonts w:hint="eastAsia" w:ascii="仿宋" w:hAnsi="仿宋" w:eastAsia="仿宋" w:cs="仿宋"/>
          <w:b w:val="0"/>
          <w:i w:val="0"/>
          <w:caps w:val="0"/>
          <w:color w:val="auto"/>
          <w:spacing w:val="0"/>
          <w:kern w:val="0"/>
          <w:sz w:val="32"/>
          <w:szCs w:val="32"/>
          <w:u w:val="none"/>
          <w:lang w:val="en-US" w:eastAsia="zh-CN" w:bidi="ar"/>
        </w:rPr>
      </w:pPr>
      <w:r>
        <w:rPr>
          <w:rFonts w:hint="eastAsia" w:ascii="仿宋" w:hAnsi="仿宋" w:eastAsia="仿宋" w:cs="仿宋"/>
          <w:b/>
          <w:bCs/>
          <w:i w:val="0"/>
          <w:caps w:val="0"/>
          <w:color w:val="auto"/>
          <w:spacing w:val="0"/>
          <w:kern w:val="0"/>
          <w:sz w:val="32"/>
          <w:szCs w:val="32"/>
          <w:u w:val="none"/>
          <w:lang w:eastAsia="zh-CN" w:bidi="ar"/>
        </w:rPr>
        <w:t>（一）</w:t>
      </w:r>
      <w:r>
        <w:rPr>
          <w:rFonts w:hint="eastAsia" w:ascii="仿宋" w:hAnsi="仿宋" w:eastAsia="仿宋" w:cs="仿宋"/>
          <w:b/>
          <w:bCs/>
          <w:i w:val="0"/>
          <w:caps w:val="0"/>
          <w:color w:val="auto"/>
          <w:spacing w:val="0"/>
          <w:kern w:val="0"/>
          <w:sz w:val="32"/>
          <w:szCs w:val="32"/>
          <w:u w:val="none"/>
          <w:lang w:val="en-US" w:eastAsia="zh-CN" w:bidi="ar"/>
        </w:rPr>
        <w:t>市场监管改革发展任务依然艰巨。</w:t>
      </w:r>
      <w:r>
        <w:rPr>
          <w:rFonts w:hint="eastAsia" w:ascii="仿宋" w:hAnsi="仿宋" w:eastAsia="仿宋" w:cs="仿宋"/>
          <w:color w:val="auto"/>
          <w:kern w:val="0"/>
          <w:sz w:val="32"/>
          <w:szCs w:val="32"/>
          <w:lang w:eastAsia="zh-CN" w:bidi="ar"/>
        </w:rPr>
        <w:t>机构改革后，市县区级的事权划分有待进一步理顺明晰，事中事后监管、信用体系建设等重要职能</w:t>
      </w:r>
      <w:r>
        <w:rPr>
          <w:rFonts w:hint="eastAsia" w:ascii="仿宋" w:hAnsi="仿宋" w:eastAsia="仿宋" w:cs="仿宋"/>
          <w:color w:val="auto"/>
          <w:kern w:val="0"/>
          <w:sz w:val="32"/>
          <w:szCs w:val="32"/>
          <w:lang w:bidi="ar"/>
        </w:rPr>
        <w:t>下沉</w:t>
      </w:r>
      <w:r>
        <w:rPr>
          <w:rFonts w:hint="eastAsia" w:ascii="仿宋" w:hAnsi="仿宋" w:eastAsia="仿宋" w:cs="仿宋"/>
          <w:color w:val="auto"/>
          <w:kern w:val="0"/>
          <w:sz w:val="32"/>
          <w:szCs w:val="32"/>
          <w:lang w:eastAsia="zh-CN" w:bidi="ar"/>
        </w:rPr>
        <w:t>基层，特别是</w:t>
      </w:r>
      <w:r>
        <w:rPr>
          <w:rFonts w:hint="eastAsia" w:ascii="仿宋" w:hAnsi="仿宋" w:eastAsia="仿宋" w:cs="仿宋"/>
          <w:color w:val="auto"/>
          <w:kern w:val="0"/>
          <w:sz w:val="32"/>
          <w:szCs w:val="32"/>
          <w:lang w:bidi="ar"/>
        </w:rPr>
        <w:t>综合执法</w:t>
      </w:r>
      <w:r>
        <w:rPr>
          <w:rFonts w:hint="eastAsia" w:ascii="仿宋" w:hAnsi="仿宋" w:eastAsia="仿宋" w:cs="仿宋"/>
          <w:color w:val="auto"/>
          <w:kern w:val="0"/>
          <w:sz w:val="32"/>
          <w:szCs w:val="32"/>
          <w:lang w:eastAsia="zh-CN" w:bidi="ar"/>
        </w:rPr>
        <w:t>改革后</w:t>
      </w:r>
      <w:r>
        <w:rPr>
          <w:rFonts w:hint="eastAsia" w:ascii="仿宋" w:hAnsi="仿宋" w:eastAsia="仿宋" w:cs="仿宋"/>
          <w:color w:val="auto"/>
          <w:kern w:val="0"/>
          <w:sz w:val="32"/>
          <w:szCs w:val="32"/>
          <w:lang w:bidi="ar"/>
        </w:rPr>
        <w:t>，执法层级下移</w:t>
      </w: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bidi="ar"/>
        </w:rPr>
        <w:t>执法管理属地化</w:t>
      </w:r>
      <w:r>
        <w:rPr>
          <w:rFonts w:hint="eastAsia" w:ascii="仿宋" w:hAnsi="仿宋" w:eastAsia="仿宋" w:cs="仿宋"/>
          <w:color w:val="auto"/>
          <w:kern w:val="0"/>
          <w:sz w:val="32"/>
          <w:szCs w:val="32"/>
          <w:lang w:eastAsia="zh-CN" w:bidi="ar"/>
        </w:rPr>
        <w:t>，进一步加大了基层市场监管部门的履职责任。但</w:t>
      </w:r>
      <w:r>
        <w:rPr>
          <w:rFonts w:hint="eastAsia" w:ascii="仿宋" w:hAnsi="仿宋" w:eastAsia="仿宋" w:cs="仿宋"/>
          <w:color w:val="auto"/>
          <w:kern w:val="0"/>
          <w:sz w:val="32"/>
          <w:szCs w:val="32"/>
          <w:lang w:bidi="ar"/>
        </w:rPr>
        <w:t>目前各城区市场监管部门的编制人员缩减严重，与下沉的职能职责严重不匹配，在很大程度上影响了城区市场监管工作的开展，监管工作面临严重缺位，隐患相当大。</w:t>
      </w:r>
    </w:p>
    <w:p w14:paraId="7676DFD4">
      <w:pPr>
        <w:keepNext w:val="0"/>
        <w:keepLines w:val="0"/>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rPr>
          <w:rFonts w:hint="eastAsia" w:ascii="仿宋" w:hAnsi="仿宋" w:eastAsia="仿宋" w:cs="仿宋"/>
          <w:b/>
          <w:bCs/>
          <w:color w:val="auto"/>
          <w:kern w:val="0"/>
          <w:sz w:val="32"/>
          <w:szCs w:val="32"/>
          <w:lang w:val="en-US" w:eastAsia="zh-CN" w:bidi="ar"/>
        </w:rPr>
      </w:pPr>
      <w:r>
        <w:rPr>
          <w:rFonts w:hint="eastAsia" w:ascii="仿宋" w:hAnsi="仿宋" w:eastAsia="仿宋" w:cs="仿宋"/>
          <w:b/>
          <w:bCs/>
          <w:i w:val="0"/>
          <w:caps w:val="0"/>
          <w:color w:val="auto"/>
          <w:spacing w:val="0"/>
          <w:kern w:val="0"/>
          <w:sz w:val="32"/>
          <w:szCs w:val="32"/>
          <w:u w:val="none"/>
          <w:lang w:eastAsia="zh-CN" w:bidi="ar"/>
        </w:rPr>
        <w:t>（二）</w:t>
      </w:r>
      <w:r>
        <w:rPr>
          <w:rFonts w:hint="eastAsia" w:ascii="仿宋" w:hAnsi="仿宋" w:eastAsia="仿宋" w:cs="仿宋"/>
          <w:b/>
          <w:bCs/>
          <w:i w:val="0"/>
          <w:caps w:val="0"/>
          <w:color w:val="auto"/>
          <w:spacing w:val="0"/>
          <w:kern w:val="0"/>
          <w:sz w:val="32"/>
          <w:szCs w:val="32"/>
          <w:u w:val="none"/>
          <w:lang w:val="en-US" w:eastAsia="zh-CN" w:bidi="ar"/>
        </w:rPr>
        <w:t>干部队伍思想融合和队伍融合有待进一步深化。</w:t>
      </w:r>
      <w:r>
        <w:rPr>
          <w:rFonts w:hint="eastAsia" w:ascii="仿宋" w:hAnsi="仿宋" w:eastAsia="仿宋" w:cs="仿宋"/>
          <w:b w:val="0"/>
          <w:bCs w:val="0"/>
          <w:i w:val="0"/>
          <w:caps w:val="0"/>
          <w:color w:val="auto"/>
          <w:spacing w:val="0"/>
          <w:kern w:val="0"/>
          <w:sz w:val="32"/>
          <w:szCs w:val="32"/>
          <w:u w:val="none"/>
          <w:lang w:val="en-US" w:eastAsia="zh-CN" w:bidi="ar"/>
        </w:rPr>
        <w:t>在改革中我局按照</w:t>
      </w:r>
      <w:r>
        <w:rPr>
          <w:rFonts w:hint="eastAsia" w:ascii="仿宋" w:hAnsi="仿宋" w:eastAsia="仿宋" w:cs="仿宋"/>
          <w:b w:val="0"/>
          <w:bCs w:val="0"/>
          <w:color w:val="auto"/>
          <w:kern w:val="0"/>
          <w:sz w:val="32"/>
          <w:szCs w:val="32"/>
          <w:lang w:bidi="ar"/>
        </w:rPr>
        <w:t>“大稳定、小调整、有机融合”的原则，原来5个部门的干部交叉配置，以岗位调整促进队伍有机融</w:t>
      </w:r>
      <w:r>
        <w:rPr>
          <w:rFonts w:hint="eastAsia" w:ascii="仿宋" w:hAnsi="仿宋" w:eastAsia="仿宋" w:cs="仿宋"/>
          <w:b w:val="0"/>
          <w:bCs w:val="0"/>
          <w:color w:val="auto"/>
          <w:kern w:val="0"/>
          <w:sz w:val="32"/>
          <w:szCs w:val="32"/>
          <w:lang w:eastAsia="zh-CN" w:bidi="ar"/>
        </w:rPr>
        <w:t>合，</w:t>
      </w:r>
      <w:r>
        <w:rPr>
          <w:rFonts w:hint="eastAsia" w:ascii="仿宋" w:hAnsi="仿宋" w:eastAsia="仿宋" w:cs="仿宋"/>
          <w:b w:val="0"/>
          <w:bCs w:val="0"/>
          <w:color w:val="auto"/>
          <w:kern w:val="0"/>
          <w:sz w:val="32"/>
          <w:szCs w:val="32"/>
          <w:lang w:bidi="ar"/>
        </w:rPr>
        <w:t>由于</w:t>
      </w:r>
      <w:r>
        <w:rPr>
          <w:rFonts w:hint="eastAsia" w:ascii="仿宋" w:hAnsi="仿宋" w:eastAsia="仿宋" w:cs="仿宋"/>
          <w:b w:val="0"/>
          <w:bCs w:val="0"/>
          <w:color w:val="auto"/>
          <w:kern w:val="0"/>
          <w:sz w:val="32"/>
          <w:szCs w:val="32"/>
          <w:lang w:eastAsia="zh-CN" w:bidi="ar"/>
        </w:rPr>
        <w:t>原来所在</w:t>
      </w:r>
      <w:r>
        <w:rPr>
          <w:rFonts w:hint="eastAsia" w:ascii="仿宋" w:hAnsi="仿宋" w:eastAsia="仿宋" w:cs="仿宋"/>
          <w:b w:val="0"/>
          <w:bCs w:val="0"/>
          <w:color w:val="auto"/>
          <w:kern w:val="0"/>
          <w:sz w:val="32"/>
          <w:szCs w:val="32"/>
          <w:lang w:bidi="ar"/>
        </w:rPr>
        <w:t>部门的文化、工作方式方法和风格不尽相同，多个部门整合为一，“门户之见”在一定范围、时期及特定问题上，均有不同程度显现</w:t>
      </w:r>
      <w:r>
        <w:rPr>
          <w:rFonts w:hint="eastAsia" w:ascii="仿宋" w:hAnsi="仿宋" w:eastAsia="仿宋" w:cs="仿宋"/>
          <w:b w:val="0"/>
          <w:bCs w:val="0"/>
          <w:color w:val="auto"/>
          <w:kern w:val="0"/>
          <w:sz w:val="32"/>
          <w:szCs w:val="32"/>
          <w:lang w:eastAsia="zh-CN" w:bidi="ar"/>
        </w:rPr>
        <w:t>，</w:t>
      </w:r>
      <w:r>
        <w:rPr>
          <w:rFonts w:hint="eastAsia" w:ascii="仿宋" w:hAnsi="仿宋" w:eastAsia="仿宋" w:cs="仿宋"/>
          <w:b w:val="0"/>
          <w:bCs w:val="0"/>
          <w:color w:val="auto"/>
          <w:kern w:val="0"/>
          <w:sz w:val="32"/>
          <w:szCs w:val="32"/>
          <w:lang w:bidi="ar"/>
        </w:rPr>
        <w:t>没有完全形成全局一盘棋的思想，工作配合不够默契，在一定程度上影响了工作成效</w:t>
      </w:r>
      <w:r>
        <w:rPr>
          <w:rFonts w:hint="eastAsia" w:ascii="仿宋" w:hAnsi="仿宋" w:eastAsia="仿宋" w:cs="仿宋"/>
          <w:b w:val="0"/>
          <w:bCs w:val="0"/>
          <w:color w:val="auto"/>
          <w:kern w:val="0"/>
          <w:sz w:val="32"/>
          <w:szCs w:val="32"/>
          <w:lang w:eastAsia="zh-CN" w:bidi="ar"/>
        </w:rPr>
        <w:t>。</w:t>
      </w:r>
    </w:p>
    <w:p w14:paraId="0F204013">
      <w:pPr>
        <w:keepNext w:val="0"/>
        <w:keepLines w:val="0"/>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rPr>
          <w:rFonts w:hint="eastAsia" w:ascii="仿宋" w:hAnsi="仿宋" w:eastAsia="仿宋" w:cs="仿宋"/>
          <w:color w:val="auto"/>
          <w:kern w:val="0"/>
          <w:sz w:val="32"/>
          <w:szCs w:val="32"/>
          <w:lang w:eastAsia="zh-CN" w:bidi="ar"/>
        </w:rPr>
      </w:pPr>
      <w:r>
        <w:rPr>
          <w:rFonts w:hint="eastAsia" w:ascii="仿宋" w:hAnsi="仿宋" w:eastAsia="仿宋" w:cs="仿宋"/>
          <w:b/>
          <w:bCs/>
          <w:color w:val="auto"/>
          <w:kern w:val="0"/>
          <w:sz w:val="32"/>
          <w:szCs w:val="32"/>
          <w:lang w:val="en-US" w:eastAsia="zh-CN" w:bidi="ar"/>
        </w:rPr>
        <w:t>（三）</w:t>
      </w:r>
      <w:r>
        <w:rPr>
          <w:rFonts w:hint="eastAsia" w:ascii="仿宋" w:hAnsi="仿宋" w:eastAsia="仿宋" w:cs="仿宋"/>
          <w:b/>
          <w:bCs/>
          <w:i w:val="0"/>
          <w:caps w:val="0"/>
          <w:color w:val="auto"/>
          <w:spacing w:val="0"/>
          <w:kern w:val="0"/>
          <w:sz w:val="32"/>
          <w:szCs w:val="32"/>
          <w:u w:val="none"/>
          <w:lang w:val="en-US" w:eastAsia="zh-CN" w:bidi="ar"/>
        </w:rPr>
        <w:t>安全生产特别是食品安全形势依然严峻。</w:t>
      </w:r>
      <w:r>
        <w:rPr>
          <w:rFonts w:hint="eastAsia" w:ascii="仿宋" w:hAnsi="仿宋" w:eastAsia="仿宋" w:cs="仿宋"/>
          <w:color w:val="auto"/>
          <w:kern w:val="0"/>
          <w:sz w:val="32"/>
          <w:szCs w:val="32"/>
          <w:lang w:eastAsia="zh-CN" w:bidi="ar"/>
        </w:rPr>
        <w:t>食品安全涉及面广、涉及单位和部门多，在综合协调和联合执法上沟通不足，联合监管成效不明显。食品生产经营存在的</w:t>
      </w:r>
      <w:r>
        <w:rPr>
          <w:rFonts w:hint="eastAsia" w:ascii="仿宋" w:hAnsi="仿宋" w:eastAsia="仿宋" w:cs="仿宋"/>
          <w:color w:val="auto"/>
          <w:kern w:val="0"/>
          <w:sz w:val="32"/>
          <w:szCs w:val="32"/>
          <w:lang w:bidi="ar"/>
        </w:rPr>
        <w:t>加工环境脏乱差、销售过期变质不合格食品</w:t>
      </w:r>
      <w:r>
        <w:rPr>
          <w:rFonts w:hint="eastAsia" w:ascii="仿宋" w:hAnsi="仿宋" w:eastAsia="仿宋" w:cs="仿宋"/>
          <w:color w:val="auto"/>
          <w:kern w:val="0"/>
          <w:sz w:val="32"/>
          <w:szCs w:val="32"/>
          <w:lang w:eastAsia="zh-CN" w:bidi="ar"/>
        </w:rPr>
        <w:t>以及</w:t>
      </w:r>
      <w:r>
        <w:rPr>
          <w:rFonts w:hint="eastAsia" w:ascii="仿宋" w:hAnsi="仿宋" w:eastAsia="仿宋" w:cs="仿宋"/>
          <w:color w:val="auto"/>
          <w:kern w:val="0"/>
          <w:sz w:val="32"/>
          <w:szCs w:val="32"/>
          <w:lang w:bidi="ar"/>
        </w:rPr>
        <w:t>小作坊、小摊贩、小餐饮，企业多、小、散、乱等</w:t>
      </w:r>
      <w:r>
        <w:rPr>
          <w:rFonts w:hint="eastAsia" w:ascii="仿宋" w:hAnsi="仿宋" w:eastAsia="仿宋" w:cs="仿宋"/>
          <w:color w:val="auto"/>
          <w:kern w:val="0"/>
          <w:sz w:val="32"/>
          <w:szCs w:val="32"/>
          <w:lang w:eastAsia="zh-CN" w:bidi="ar"/>
        </w:rPr>
        <w:t>突出</w:t>
      </w:r>
      <w:r>
        <w:rPr>
          <w:rFonts w:hint="eastAsia" w:ascii="仿宋" w:hAnsi="仿宋" w:eastAsia="仿宋" w:cs="仿宋"/>
          <w:color w:val="auto"/>
          <w:kern w:val="0"/>
          <w:sz w:val="32"/>
          <w:szCs w:val="32"/>
          <w:lang w:bidi="ar"/>
        </w:rPr>
        <w:t>问题</w:t>
      </w:r>
      <w:r>
        <w:rPr>
          <w:rFonts w:hint="eastAsia" w:ascii="仿宋" w:hAnsi="仿宋" w:eastAsia="仿宋" w:cs="仿宋"/>
          <w:color w:val="auto"/>
          <w:kern w:val="0"/>
          <w:sz w:val="32"/>
          <w:szCs w:val="32"/>
          <w:lang w:eastAsia="zh-CN" w:bidi="ar"/>
        </w:rPr>
        <w:t>未能有效解决，</w:t>
      </w:r>
      <w:r>
        <w:rPr>
          <w:rFonts w:hint="eastAsia" w:ascii="仿宋" w:hAnsi="仿宋" w:eastAsia="仿宋" w:cs="仿宋"/>
          <w:color w:val="auto"/>
          <w:kern w:val="0"/>
          <w:sz w:val="32"/>
          <w:szCs w:val="32"/>
          <w:lang w:bidi="ar"/>
        </w:rPr>
        <w:t>监管难度很大</w:t>
      </w:r>
      <w:r>
        <w:rPr>
          <w:rFonts w:hint="eastAsia" w:ascii="仿宋" w:hAnsi="仿宋" w:eastAsia="仿宋" w:cs="仿宋"/>
          <w:color w:val="auto"/>
          <w:kern w:val="0"/>
          <w:sz w:val="32"/>
          <w:szCs w:val="32"/>
          <w:lang w:eastAsia="zh-CN" w:bidi="ar"/>
        </w:rPr>
        <w:t>。安全</w:t>
      </w:r>
      <w:r>
        <w:rPr>
          <w:rFonts w:hint="eastAsia" w:ascii="仿宋" w:hAnsi="仿宋" w:eastAsia="仿宋" w:cs="仿宋"/>
          <w:color w:val="auto"/>
          <w:kern w:val="0"/>
          <w:sz w:val="32"/>
          <w:szCs w:val="32"/>
          <w:lang w:bidi="ar"/>
        </w:rPr>
        <w:t>生产</w:t>
      </w:r>
      <w:r>
        <w:rPr>
          <w:rFonts w:hint="eastAsia" w:ascii="仿宋" w:hAnsi="仿宋" w:eastAsia="仿宋" w:cs="仿宋"/>
          <w:color w:val="auto"/>
          <w:kern w:val="0"/>
          <w:sz w:val="32"/>
          <w:szCs w:val="32"/>
          <w:lang w:eastAsia="zh-CN" w:bidi="ar"/>
        </w:rPr>
        <w:t>的</w:t>
      </w:r>
      <w:r>
        <w:rPr>
          <w:rFonts w:hint="eastAsia" w:ascii="仿宋" w:hAnsi="仿宋" w:eastAsia="仿宋" w:cs="仿宋"/>
          <w:color w:val="auto"/>
          <w:kern w:val="0"/>
          <w:sz w:val="32"/>
          <w:szCs w:val="32"/>
          <w:lang w:bidi="ar"/>
        </w:rPr>
        <w:t>主体责任意识</w:t>
      </w:r>
      <w:r>
        <w:rPr>
          <w:rFonts w:hint="eastAsia" w:ascii="仿宋" w:hAnsi="仿宋" w:eastAsia="仿宋" w:cs="仿宋"/>
          <w:color w:val="auto"/>
          <w:kern w:val="0"/>
          <w:sz w:val="32"/>
          <w:szCs w:val="32"/>
          <w:lang w:eastAsia="zh-CN" w:bidi="ar"/>
        </w:rPr>
        <w:t>不强，部分企业的安全隐患未能有效解决。</w:t>
      </w:r>
      <w:r>
        <w:rPr>
          <w:rFonts w:hint="eastAsia" w:ascii="仿宋" w:hAnsi="仿宋" w:eastAsia="仿宋" w:cs="仿宋"/>
          <w:color w:val="auto"/>
          <w:kern w:val="0"/>
          <w:sz w:val="32"/>
          <w:szCs w:val="32"/>
          <w:lang w:bidi="ar"/>
        </w:rPr>
        <w:t>基层监管</w:t>
      </w:r>
      <w:r>
        <w:rPr>
          <w:rFonts w:hint="eastAsia" w:ascii="仿宋" w:hAnsi="仿宋" w:eastAsia="仿宋" w:cs="仿宋"/>
          <w:color w:val="auto"/>
          <w:kern w:val="0"/>
          <w:sz w:val="32"/>
          <w:szCs w:val="32"/>
          <w:lang w:eastAsia="zh-CN" w:bidi="ar"/>
        </w:rPr>
        <w:t>安全监管</w:t>
      </w:r>
      <w:r>
        <w:rPr>
          <w:rFonts w:hint="eastAsia" w:ascii="仿宋" w:hAnsi="仿宋" w:eastAsia="仿宋" w:cs="仿宋"/>
          <w:color w:val="auto"/>
          <w:kern w:val="0"/>
          <w:sz w:val="32"/>
          <w:szCs w:val="32"/>
          <w:lang w:bidi="ar"/>
        </w:rPr>
        <w:t>执法能力薄弱</w:t>
      </w: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bidi="ar"/>
        </w:rPr>
        <w:t>基层监管部门存在</w:t>
      </w:r>
      <w:r>
        <w:rPr>
          <w:rFonts w:hint="eastAsia" w:ascii="仿宋" w:hAnsi="仿宋" w:eastAsia="仿宋" w:cs="仿宋"/>
          <w:color w:val="auto"/>
          <w:kern w:val="0"/>
          <w:sz w:val="32"/>
          <w:szCs w:val="32"/>
          <w:lang w:eastAsia="zh-CN" w:bidi="ar"/>
        </w:rPr>
        <w:t>市场监管执法</w:t>
      </w:r>
      <w:r>
        <w:rPr>
          <w:rFonts w:hint="eastAsia" w:ascii="仿宋" w:hAnsi="仿宋" w:eastAsia="仿宋" w:cs="仿宋"/>
          <w:color w:val="auto"/>
          <w:kern w:val="0"/>
          <w:sz w:val="32"/>
          <w:szCs w:val="32"/>
          <w:lang w:bidi="ar"/>
        </w:rPr>
        <w:t>专业人才匮乏、人员结构相对老化等问题，影响了执法的效果和权威性</w:t>
      </w:r>
      <w:r>
        <w:rPr>
          <w:rFonts w:hint="eastAsia" w:ascii="仿宋" w:hAnsi="仿宋" w:eastAsia="仿宋" w:cs="仿宋"/>
          <w:color w:val="auto"/>
          <w:kern w:val="0"/>
          <w:sz w:val="32"/>
          <w:szCs w:val="32"/>
          <w:lang w:eastAsia="zh-CN" w:bidi="ar"/>
        </w:rPr>
        <w:t>。</w:t>
      </w:r>
    </w:p>
    <w:p w14:paraId="2AC1858B">
      <w:pPr>
        <w:keepNext w:val="0"/>
        <w:keepLines w:val="0"/>
        <w:pageBreakBefore w:val="0"/>
        <w:widowControl w:val="0"/>
        <w:numPr>
          <w:ilvl w:val="0"/>
          <w:numId w:val="0"/>
        </w:numPr>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line="540" w:lineRule="exact"/>
        <w:ind w:left="0" w:leftChars="0" w:right="0" w:rightChars="0" w:firstLine="643" w:firstLineChars="200"/>
        <w:jc w:val="both"/>
        <w:textAlignment w:val="auto"/>
        <w:rPr>
          <w:rFonts w:hint="eastAsia" w:ascii="仿宋" w:hAnsi="仿宋" w:eastAsia="仿宋" w:cs="仿宋"/>
          <w:b w:val="0"/>
          <w:bCs w:val="0"/>
          <w:color w:val="auto"/>
          <w:kern w:val="0"/>
          <w:sz w:val="32"/>
          <w:szCs w:val="32"/>
          <w:lang w:bidi="ar"/>
        </w:rPr>
      </w:pPr>
      <w:r>
        <w:rPr>
          <w:rFonts w:hint="eastAsia" w:ascii="仿宋" w:hAnsi="仿宋" w:eastAsia="仿宋" w:cs="仿宋"/>
          <w:b/>
          <w:bCs/>
          <w:color w:val="auto"/>
          <w:kern w:val="0"/>
          <w:sz w:val="32"/>
          <w:szCs w:val="32"/>
          <w:lang w:val="en-US" w:eastAsia="zh-CN" w:bidi="ar"/>
        </w:rPr>
        <w:t>（四）</w:t>
      </w:r>
      <w:r>
        <w:rPr>
          <w:rFonts w:hint="eastAsia" w:ascii="仿宋" w:hAnsi="仿宋" w:eastAsia="仿宋" w:cs="仿宋"/>
          <w:b/>
          <w:bCs/>
          <w:i w:val="0"/>
          <w:caps w:val="0"/>
          <w:color w:val="auto"/>
          <w:spacing w:val="0"/>
          <w:kern w:val="0"/>
          <w:sz w:val="32"/>
          <w:szCs w:val="32"/>
          <w:u w:val="none"/>
          <w:lang w:val="en-US" w:eastAsia="zh-CN" w:bidi="ar"/>
        </w:rPr>
        <w:t>高质量发展的体制机制有待进一步完善。</w:t>
      </w:r>
      <w:r>
        <w:rPr>
          <w:rFonts w:hint="eastAsia" w:ascii="仿宋" w:hAnsi="仿宋" w:eastAsia="仿宋" w:cs="仿宋"/>
          <w:b w:val="0"/>
          <w:bCs w:val="0"/>
          <w:i w:val="0"/>
          <w:caps w:val="0"/>
          <w:color w:val="auto"/>
          <w:spacing w:val="0"/>
          <w:kern w:val="0"/>
          <w:sz w:val="32"/>
          <w:szCs w:val="32"/>
          <w:u w:val="none"/>
          <w:lang w:val="en-US" w:eastAsia="zh-CN" w:bidi="ar"/>
        </w:rPr>
        <w:t>特别是目前尚未建立高质量发展的资金投入机制。高质量发展是系统工程，需要各部门的大力支持，亟需</w:t>
      </w:r>
      <w:r>
        <w:rPr>
          <w:rFonts w:hint="eastAsia" w:ascii="仿宋" w:hAnsi="仿宋" w:eastAsia="仿宋" w:cs="仿宋"/>
          <w:b w:val="0"/>
          <w:bCs w:val="0"/>
          <w:color w:val="auto"/>
          <w:kern w:val="0"/>
          <w:sz w:val="32"/>
          <w:szCs w:val="32"/>
          <w:lang w:eastAsia="zh-CN" w:bidi="ar"/>
        </w:rPr>
        <w:t>建立以结果导向和过程导向相兼顾的</w:t>
      </w:r>
      <w:r>
        <w:rPr>
          <w:rFonts w:hint="eastAsia" w:ascii="仿宋" w:hAnsi="仿宋" w:eastAsia="仿宋" w:cs="仿宋"/>
          <w:b w:val="0"/>
          <w:bCs w:val="0"/>
          <w:color w:val="auto"/>
          <w:kern w:val="0"/>
          <w:sz w:val="32"/>
          <w:szCs w:val="32"/>
          <w:lang w:val="en-US" w:eastAsia="zh-CN" w:bidi="ar"/>
        </w:rPr>
        <w:t>质量发展资金保障</w:t>
      </w:r>
      <w:r>
        <w:rPr>
          <w:rFonts w:hint="eastAsia" w:ascii="仿宋" w:hAnsi="仿宋" w:eastAsia="仿宋" w:cs="仿宋"/>
          <w:b w:val="0"/>
          <w:bCs w:val="0"/>
          <w:color w:val="auto"/>
          <w:kern w:val="0"/>
          <w:sz w:val="32"/>
          <w:szCs w:val="32"/>
          <w:lang w:eastAsia="zh-CN" w:bidi="ar"/>
        </w:rPr>
        <w:t>机制，</w:t>
      </w:r>
      <w:r>
        <w:rPr>
          <w:rFonts w:hint="eastAsia" w:ascii="仿宋" w:hAnsi="仿宋" w:eastAsia="仿宋" w:cs="仿宋"/>
          <w:b w:val="0"/>
          <w:bCs w:val="0"/>
          <w:color w:val="auto"/>
          <w:kern w:val="0"/>
          <w:sz w:val="32"/>
          <w:szCs w:val="32"/>
          <w:lang w:bidi="ar"/>
        </w:rPr>
        <w:t>设立</w:t>
      </w:r>
      <w:r>
        <w:rPr>
          <w:rFonts w:hint="eastAsia" w:ascii="仿宋" w:hAnsi="仿宋" w:eastAsia="仿宋" w:cs="仿宋"/>
          <w:b w:val="0"/>
          <w:bCs w:val="0"/>
          <w:color w:val="auto"/>
          <w:kern w:val="0"/>
          <w:sz w:val="32"/>
          <w:szCs w:val="32"/>
          <w:lang w:eastAsia="zh-CN" w:bidi="ar"/>
        </w:rPr>
        <w:t>城市</w:t>
      </w:r>
      <w:r>
        <w:rPr>
          <w:rFonts w:hint="eastAsia" w:ascii="仿宋" w:hAnsi="仿宋" w:eastAsia="仿宋" w:cs="仿宋"/>
          <w:b w:val="0"/>
          <w:bCs w:val="0"/>
          <w:color w:val="auto"/>
          <w:kern w:val="0"/>
          <w:sz w:val="32"/>
          <w:szCs w:val="32"/>
          <w:lang w:bidi="ar"/>
        </w:rPr>
        <w:t>质量发展专项资金，</w:t>
      </w:r>
      <w:r>
        <w:rPr>
          <w:rFonts w:hint="eastAsia" w:ascii="仿宋" w:hAnsi="仿宋" w:eastAsia="仿宋" w:cs="仿宋"/>
          <w:b w:val="0"/>
          <w:bCs w:val="0"/>
          <w:color w:val="auto"/>
          <w:kern w:val="0"/>
          <w:sz w:val="32"/>
          <w:szCs w:val="32"/>
          <w:lang w:eastAsia="zh-CN" w:bidi="ar"/>
        </w:rPr>
        <w:t>保障质量发展和质量创新</w:t>
      </w:r>
      <w:r>
        <w:rPr>
          <w:rFonts w:hint="eastAsia" w:ascii="仿宋" w:hAnsi="仿宋" w:eastAsia="仿宋" w:cs="仿宋"/>
          <w:b w:val="0"/>
          <w:bCs w:val="0"/>
          <w:color w:val="auto"/>
          <w:kern w:val="0"/>
          <w:sz w:val="32"/>
          <w:szCs w:val="32"/>
          <w:lang w:bidi="ar"/>
        </w:rPr>
        <w:t>资金</w:t>
      </w:r>
      <w:r>
        <w:rPr>
          <w:rFonts w:hint="eastAsia" w:ascii="仿宋" w:hAnsi="仿宋" w:eastAsia="仿宋" w:cs="仿宋"/>
          <w:b w:val="0"/>
          <w:bCs w:val="0"/>
          <w:color w:val="auto"/>
          <w:kern w:val="0"/>
          <w:sz w:val="32"/>
          <w:szCs w:val="32"/>
          <w:lang w:eastAsia="zh-CN" w:bidi="ar"/>
        </w:rPr>
        <w:t>投入，以</w:t>
      </w:r>
      <w:r>
        <w:rPr>
          <w:rFonts w:hint="eastAsia" w:ascii="仿宋" w:hAnsi="仿宋" w:eastAsia="仿宋" w:cs="仿宋"/>
          <w:b w:val="0"/>
          <w:bCs w:val="0"/>
          <w:color w:val="auto"/>
          <w:kern w:val="0"/>
          <w:sz w:val="32"/>
          <w:szCs w:val="32"/>
          <w:lang w:bidi="ar"/>
        </w:rPr>
        <w:t>激发广大企业</w:t>
      </w:r>
      <w:r>
        <w:rPr>
          <w:rFonts w:hint="eastAsia" w:ascii="仿宋" w:hAnsi="仿宋" w:eastAsia="仿宋" w:cs="仿宋"/>
          <w:b w:val="0"/>
          <w:bCs w:val="0"/>
          <w:color w:val="auto"/>
          <w:kern w:val="0"/>
          <w:sz w:val="32"/>
          <w:szCs w:val="32"/>
          <w:lang w:eastAsia="zh-CN" w:bidi="ar"/>
        </w:rPr>
        <w:t>的</w:t>
      </w:r>
      <w:r>
        <w:rPr>
          <w:rFonts w:hint="eastAsia" w:ascii="仿宋" w:hAnsi="仿宋" w:eastAsia="仿宋" w:cs="仿宋"/>
          <w:b w:val="0"/>
          <w:bCs w:val="0"/>
          <w:color w:val="auto"/>
          <w:kern w:val="0"/>
          <w:sz w:val="32"/>
          <w:szCs w:val="32"/>
          <w:lang w:bidi="ar"/>
        </w:rPr>
        <w:t>创新活力，形成产业提质增效新动能。</w:t>
      </w:r>
    </w:p>
    <w:p w14:paraId="79592624">
      <w:pPr>
        <w:pageBreakBefore w:val="0"/>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line="540" w:lineRule="exact"/>
        <w:ind w:left="0" w:leftChars="0" w:right="0" w:rightChars="0"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（五）保护消费者权益道路依然任重道远。</w:t>
      </w:r>
      <w:r>
        <w:rPr>
          <w:rFonts w:hint="eastAsia" w:ascii="仿宋" w:hAnsi="仿宋" w:eastAsia="仿宋" w:cs="仿宋"/>
          <w:color w:val="auto"/>
          <w:kern w:val="0"/>
          <w:sz w:val="32"/>
          <w:szCs w:val="32"/>
        </w:rPr>
        <w:t>随着经济社会的高速发展，人民日益增长的美好生活需要和不平衡不充分的发展之间的矛盾已成为当前社会发展的主要矛。因此，消费者对高质量发展特别是服务质量、产品质量和商品质量等越来越重视，消费者合法维权意识日益增强，投诉举报量极大增加，给当前市场监管部门带来巨大压力。同时，根据消费者权益保护条例有关规定，需要设立公益性的消费者权益保护机构，目前南宁、桂林等城市已将消费者权益保护机构纳入事业单位进行管理，有编制、有人员、有经费，而柳州市虽经多方努力，目前尚未获批将消费者权益保护机构设立为独立的事业单位。</w:t>
      </w:r>
    </w:p>
    <w:p w14:paraId="5753C668">
      <w:pPr>
        <w:pageBreakBefore w:val="0"/>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下一步，我局将继续积极</w:t>
      </w:r>
      <w:r>
        <w:rPr>
          <w:rFonts w:hint="eastAsia" w:ascii="仿宋" w:hAnsi="仿宋" w:eastAsia="仿宋" w:cs="仿宋"/>
          <w:color w:val="auto"/>
          <w:kern w:val="0"/>
          <w:sz w:val="32"/>
          <w:szCs w:val="32"/>
        </w:rPr>
        <w:t>推动高质量发展、加速补齐弱项短板，努力完成“十三五”规划纲要确立的目标任务，促进</w:t>
      </w:r>
      <w:r>
        <w:rPr>
          <w:rFonts w:hint="eastAsia" w:ascii="仿宋" w:hAnsi="仿宋" w:eastAsia="仿宋" w:cs="仿宋"/>
          <w:color w:val="auto"/>
          <w:kern w:val="0"/>
          <w:sz w:val="32"/>
          <w:szCs w:val="32"/>
          <w:lang w:eastAsia="zh-CN"/>
        </w:rPr>
        <w:t>柳州市</w:t>
      </w:r>
      <w:r>
        <w:rPr>
          <w:rFonts w:hint="eastAsia" w:ascii="仿宋" w:hAnsi="仿宋" w:eastAsia="仿宋" w:cs="仿宋"/>
          <w:color w:val="auto"/>
          <w:kern w:val="0"/>
          <w:sz w:val="32"/>
          <w:szCs w:val="32"/>
        </w:rPr>
        <w:t>经济社会持续健康发展。</w:t>
      </w:r>
    </w:p>
    <w:p w14:paraId="655AF7CA">
      <w:pPr>
        <w:pageBreakBefore w:val="0"/>
        <w:pBdr>
          <w:top w:val="none" w:color="000000" w:sz="0" w:space="0"/>
          <w:left w:val="none" w:color="000000" w:sz="0" w:space="0"/>
          <w:bottom w:val="single" w:color="FFFFFF" w:sz="4" w:space="30"/>
          <w:right w:val="none" w:color="000000" w:sz="0" w:space="0"/>
        </w:pBdr>
        <w:tabs>
          <w:tab w:val="left" w:pos="1440"/>
        </w:tabs>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eastAsia" w:ascii="仿宋" w:hAnsi="仿宋" w:eastAsia="仿宋" w:cs="仿宋"/>
          <w:color w:val="auto"/>
          <w:kern w:val="0"/>
          <w:sz w:val="32"/>
          <w:szCs w:val="32"/>
        </w:rPr>
      </w:pPr>
    </w:p>
    <w:sectPr>
      <w:footerReference r:id="rId3" w:type="default"/>
      <w:pgSz w:w="11906" w:h="16838"/>
      <w:pgMar w:top="1440" w:right="1587" w:bottom="1440"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45BF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97CA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897CA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67371"/>
    <w:multiLevelType w:val="singleLevel"/>
    <w:tmpl w:val="5E267371"/>
    <w:lvl w:ilvl="0" w:tentative="0">
      <w:start w:val="2"/>
      <w:numFmt w:val="chineseCounting"/>
      <w:suff w:val="nothing"/>
      <w:lvlText w:val="%1、"/>
      <w:lvlJc w:val="left"/>
    </w:lvl>
  </w:abstractNum>
  <w:abstractNum w:abstractNumId="1">
    <w:nsid w:val="5E267463"/>
    <w:multiLevelType w:val="singleLevel"/>
    <w:tmpl w:val="5E267463"/>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ZjYwOGU4ZDFlODJlYTU1N2MxMzE0OTI1NjEyMTgifQ=="/>
  </w:docVars>
  <w:rsids>
    <w:rsidRoot w:val="48D86CA8"/>
    <w:rsid w:val="005706CA"/>
    <w:rsid w:val="0D324D68"/>
    <w:rsid w:val="1B4F042F"/>
    <w:rsid w:val="293919EE"/>
    <w:rsid w:val="2EDC417A"/>
    <w:rsid w:val="32202685"/>
    <w:rsid w:val="36875837"/>
    <w:rsid w:val="37194345"/>
    <w:rsid w:val="3E3C7297"/>
    <w:rsid w:val="3EB1399B"/>
    <w:rsid w:val="48D86CA8"/>
    <w:rsid w:val="50B27742"/>
    <w:rsid w:val="513646DC"/>
    <w:rsid w:val="55E30BE3"/>
    <w:rsid w:val="5AB436F0"/>
    <w:rsid w:val="65CD223A"/>
    <w:rsid w:val="66736C20"/>
    <w:rsid w:val="67A07E28"/>
    <w:rsid w:val="6D3C4AFC"/>
    <w:rsid w:val="6D444768"/>
    <w:rsid w:val="6DDF300E"/>
    <w:rsid w:val="7EE50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rFonts w:ascii="微软雅黑" w:hAnsi="微软雅黑" w:eastAsia="微软雅黑" w:cs="微软雅黑"/>
      <w:color w:val="000000"/>
      <w:u w:val="none"/>
    </w:rPr>
  </w:style>
  <w:style w:type="character" w:styleId="9">
    <w:name w:val="HTML Acronym"/>
    <w:basedOn w:val="6"/>
    <w:qFormat/>
    <w:uiPriority w:val="0"/>
  </w:style>
  <w:style w:type="character" w:styleId="10">
    <w:name w:val="Hyperlink"/>
    <w:basedOn w:val="6"/>
    <w:qFormat/>
    <w:uiPriority w:val="0"/>
    <w:rPr>
      <w:rFonts w:hint="eastAsia" w:ascii="微软雅黑" w:hAnsi="微软雅黑" w:eastAsia="微软雅黑" w:cs="微软雅黑"/>
      <w:color w:val="000000"/>
      <w:u w:val="none"/>
    </w:rPr>
  </w:style>
  <w:style w:type="paragraph" w:customStyle="1" w:styleId="11">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12">
    <w:name w:val="mesg-myd"/>
    <w:basedOn w:val="6"/>
    <w:qFormat/>
    <w:uiPriority w:val="0"/>
    <w:rPr>
      <w:color w:val="EE0000"/>
    </w:rPr>
  </w:style>
  <w:style w:type="character" w:customStyle="1" w:styleId="13">
    <w:name w:val="img"/>
    <w:basedOn w:val="6"/>
    <w:qFormat/>
    <w:uiPriority w:val="0"/>
  </w:style>
  <w:style w:type="character" w:customStyle="1" w:styleId="14">
    <w:name w:val="txt"/>
    <w:basedOn w:val="6"/>
    <w:qFormat/>
    <w:uiPriority w:val="0"/>
    <w:rPr>
      <w:color w:val="C0C0C0"/>
    </w:rPr>
  </w:style>
  <w:style w:type="character" w:customStyle="1" w:styleId="15">
    <w:name w:val="txt1"/>
    <w:basedOn w:val="6"/>
    <w:qFormat/>
    <w:uiPriority w:val="0"/>
  </w:style>
  <w:style w:type="paragraph" w:customStyle="1" w:styleId="16">
    <w:name w:val="p4"/>
    <w:basedOn w:val="1"/>
    <w:qFormat/>
    <w:uiPriority w:val="0"/>
    <w:pPr>
      <w:jc w:val="left"/>
    </w:pPr>
    <w:rPr>
      <w:rFonts w:hint="default" w:ascii="Arial" w:hAnsi="Arial" w:cs="Arial"/>
      <w:kern w:val="0"/>
      <w:lang w:val="en-US" w:eastAsia="zh-CN" w:bidi="ar"/>
    </w:rPr>
  </w:style>
  <w:style w:type="paragraph" w:customStyle="1" w:styleId="17">
    <w:name w:val="p41"/>
    <w:basedOn w:val="1"/>
    <w:qFormat/>
    <w:uiPriority w:val="0"/>
    <w:pPr>
      <w:jc w:val="left"/>
    </w:pPr>
    <w:rPr>
      <w:kern w:val="0"/>
      <w:lang w:val="en-US" w:eastAsia="zh-CN" w:bidi="ar"/>
    </w:rPr>
  </w:style>
  <w:style w:type="paragraph" w:customStyle="1" w:styleId="18">
    <w:name w:val="p42"/>
    <w:basedOn w:val="1"/>
    <w:qFormat/>
    <w:uiPriority w:val="0"/>
    <w:pPr>
      <w:jc w:val="left"/>
    </w:pPr>
    <w:rPr>
      <w:rFonts w:hint="default" w:ascii="Arial" w:hAnsi="Arial" w:cs="Arial"/>
      <w:color w:val="999999"/>
      <w:kern w:val="0"/>
      <w:lang w:val="en-US" w:eastAsia="zh-CN" w:bidi="ar"/>
    </w:rPr>
  </w:style>
  <w:style w:type="paragraph" w:customStyle="1" w:styleId="19">
    <w:name w:val="p43"/>
    <w:basedOn w:val="1"/>
    <w:qFormat/>
    <w:uiPriority w:val="0"/>
    <w:pPr>
      <w:jc w:val="left"/>
    </w:pPr>
    <w:rPr>
      <w:kern w:val="0"/>
      <w:lang w:val="en-US" w:eastAsia="zh-CN" w:bidi="ar"/>
    </w:rPr>
  </w:style>
  <w:style w:type="paragraph" w:customStyle="1" w:styleId="20">
    <w:name w:val="p44"/>
    <w:basedOn w:val="1"/>
    <w:qFormat/>
    <w:uiPriority w:val="0"/>
    <w:pPr>
      <w:jc w:val="left"/>
    </w:pPr>
    <w:rPr>
      <w:kern w:val="0"/>
      <w:lang w:val="en-US" w:eastAsia="zh-CN" w:bidi="ar"/>
    </w:rPr>
  </w:style>
  <w:style w:type="paragraph" w:customStyle="1" w:styleId="21">
    <w:name w:val="p45"/>
    <w:basedOn w:val="1"/>
    <w:qFormat/>
    <w:uiPriority w:val="0"/>
    <w:pPr>
      <w:jc w:val="left"/>
    </w:pPr>
    <w:rPr>
      <w:kern w:val="0"/>
      <w:lang w:val="en-US" w:eastAsia="zh-CN" w:bidi="ar"/>
    </w:rPr>
  </w:style>
  <w:style w:type="paragraph" w:customStyle="1" w:styleId="22">
    <w:name w:val="p46"/>
    <w:basedOn w:val="1"/>
    <w:qFormat/>
    <w:uiPriority w:val="0"/>
    <w:pPr>
      <w:pBdr>
        <w:right w:val="none" w:color="auto" w:sz="0" w:space="0"/>
      </w:pBdr>
      <w:jc w:val="left"/>
    </w:pPr>
    <w:rPr>
      <w:kern w:val="0"/>
      <w:lang w:val="en-US" w:eastAsia="zh-CN" w:bidi="ar"/>
    </w:rPr>
  </w:style>
  <w:style w:type="paragraph" w:customStyle="1" w:styleId="23">
    <w:name w:val="p47"/>
    <w:basedOn w:val="1"/>
    <w:qFormat/>
    <w:uiPriority w:val="0"/>
    <w:pPr>
      <w:pBdr>
        <w:top w:val="none" w:color="auto" w:sz="0" w:space="0"/>
        <w:left w:val="none" w:color="auto" w:sz="0" w:space="0"/>
        <w:bottom w:val="none" w:color="auto" w:sz="0" w:space="0"/>
        <w:right w:val="none" w:color="auto" w:sz="0" w:space="0"/>
      </w:pBdr>
      <w:spacing w:line="270" w:lineRule="atLeast"/>
      <w:jc w:val="left"/>
    </w:pPr>
    <w:rPr>
      <w:kern w:val="0"/>
      <w:lang w:val="en-US" w:eastAsia="zh-CN" w:bidi="ar"/>
    </w:rPr>
  </w:style>
  <w:style w:type="paragraph" w:customStyle="1" w:styleId="24">
    <w:name w:val="p48"/>
    <w:basedOn w:val="1"/>
    <w:qFormat/>
    <w:uiPriority w:val="0"/>
    <w:pPr>
      <w:jc w:val="left"/>
    </w:pPr>
    <w:rPr>
      <w:kern w:val="0"/>
      <w:lang w:val="en-US" w:eastAsia="zh-CN" w:bidi="ar"/>
    </w:rPr>
  </w:style>
  <w:style w:type="paragraph" w:customStyle="1" w:styleId="25">
    <w:name w:val="p49"/>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26">
    <w:name w:val="p410"/>
    <w:basedOn w:val="1"/>
    <w:qFormat/>
    <w:uiPriority w:val="0"/>
    <w:pPr>
      <w:jc w:val="left"/>
    </w:pPr>
    <w:rPr>
      <w:kern w:val="0"/>
      <w:lang w:val="en-US" w:eastAsia="zh-CN" w:bidi="ar"/>
    </w:rPr>
  </w:style>
  <w:style w:type="paragraph" w:customStyle="1" w:styleId="27">
    <w:name w:val="p411"/>
    <w:basedOn w:val="1"/>
    <w:qFormat/>
    <w:uiPriority w:val="0"/>
    <w:pPr>
      <w:jc w:val="left"/>
    </w:pPr>
    <w:rPr>
      <w:kern w:val="0"/>
      <w:lang w:val="en-US" w:eastAsia="zh-CN" w:bidi="ar"/>
    </w:rPr>
  </w:style>
  <w:style w:type="paragraph" w:customStyle="1" w:styleId="28">
    <w:name w:val="p412"/>
    <w:basedOn w:val="1"/>
    <w:qFormat/>
    <w:uiPriority w:val="0"/>
    <w:pPr>
      <w:pBdr>
        <w:right w:val="none" w:color="auto" w:sz="0" w:space="0"/>
      </w:pBdr>
      <w:jc w:val="left"/>
    </w:pPr>
    <w:rPr>
      <w:color w:val="999999"/>
      <w:kern w:val="0"/>
      <w:lang w:val="en-US" w:eastAsia="zh-CN" w:bidi="ar"/>
    </w:rPr>
  </w:style>
  <w:style w:type="paragraph" w:customStyle="1" w:styleId="29">
    <w:name w:val="p413"/>
    <w:basedOn w:val="1"/>
    <w:qFormat/>
    <w:uiPriority w:val="0"/>
    <w:pPr>
      <w:pBdr>
        <w:right w:val="none" w:color="auto" w:sz="0" w:space="0"/>
      </w:pBdr>
      <w:jc w:val="left"/>
    </w:pPr>
    <w:rPr>
      <w:kern w:val="0"/>
      <w:lang w:val="en-US" w:eastAsia="zh-CN" w:bidi="ar"/>
    </w:rPr>
  </w:style>
  <w:style w:type="paragraph" w:customStyle="1" w:styleId="30">
    <w:name w:val="p414"/>
    <w:basedOn w:val="1"/>
    <w:qFormat/>
    <w:uiPriority w:val="0"/>
    <w:pPr>
      <w:pBdr>
        <w:right w:val="none" w:color="auto" w:sz="0" w:space="0"/>
      </w:pBdr>
      <w:jc w:val="left"/>
    </w:pPr>
    <w:rPr>
      <w:vanish/>
      <w:kern w:val="0"/>
      <w:lang w:val="en-US" w:eastAsia="zh-CN" w:bidi="ar"/>
    </w:rPr>
  </w:style>
  <w:style w:type="paragraph" w:customStyle="1" w:styleId="31">
    <w:name w:val="p415"/>
    <w:basedOn w:val="1"/>
    <w:qFormat/>
    <w:uiPriority w:val="0"/>
    <w:pPr>
      <w:pBdr>
        <w:right w:val="none" w:color="auto" w:sz="0" w:space="0"/>
      </w:pBdr>
      <w:jc w:val="left"/>
    </w:pPr>
    <w:rPr>
      <w:vanish/>
      <w:kern w:val="0"/>
      <w:lang w:val="en-US" w:eastAsia="zh-CN" w:bidi="ar"/>
    </w:rPr>
  </w:style>
  <w:style w:type="paragraph" w:customStyle="1" w:styleId="32">
    <w:name w:val="p416"/>
    <w:basedOn w:val="1"/>
    <w:qFormat/>
    <w:uiPriority w:val="0"/>
    <w:pPr>
      <w:jc w:val="left"/>
    </w:pPr>
    <w:rPr>
      <w:kern w:val="0"/>
      <w:lang w:val="en-US" w:eastAsia="zh-CN" w:bidi="ar"/>
    </w:rPr>
  </w:style>
  <w:style w:type="paragraph" w:customStyle="1" w:styleId="33">
    <w:name w:val="p417"/>
    <w:basedOn w:val="1"/>
    <w:qFormat/>
    <w:uiPriority w:val="0"/>
    <w:pPr>
      <w:pBdr>
        <w:left w:val="none" w:color="auto" w:sz="0" w:space="0"/>
      </w:pBdr>
      <w:jc w:val="left"/>
    </w:pPr>
    <w:rPr>
      <w:color w:val="666666"/>
      <w:kern w:val="0"/>
      <w:lang w:val="en-US" w:eastAsia="zh-CN" w:bidi="ar"/>
    </w:rPr>
  </w:style>
  <w:style w:type="character" w:customStyle="1" w:styleId="34">
    <w:name w:val="over"/>
    <w:basedOn w:val="6"/>
    <w:qFormat/>
    <w:uiPriority w:val="0"/>
    <w:rPr>
      <w:color w:val="999999"/>
    </w:rPr>
  </w:style>
  <w:style w:type="character" w:customStyle="1" w:styleId="35">
    <w:name w:val="over1"/>
    <w:basedOn w:val="6"/>
    <w:qFormat/>
    <w:uiPriority w:val="0"/>
    <w:rPr>
      <w:color w:val="B60000"/>
    </w:rPr>
  </w:style>
  <w:style w:type="character" w:customStyle="1" w:styleId="36">
    <w:name w:val="over2"/>
    <w:basedOn w:val="6"/>
    <w:qFormat/>
    <w:uiPriority w:val="0"/>
  </w:style>
  <w:style w:type="character" w:customStyle="1" w:styleId="37">
    <w:name w:val="over3"/>
    <w:basedOn w:val="6"/>
    <w:qFormat/>
    <w:uiPriority w:val="0"/>
    <w:rPr>
      <w:color w:val="B60000"/>
    </w:rPr>
  </w:style>
  <w:style w:type="character" w:customStyle="1" w:styleId="38">
    <w:name w:val="starting"/>
    <w:basedOn w:val="6"/>
    <w:qFormat/>
    <w:uiPriority w:val="0"/>
    <w:rPr>
      <w:color w:val="B60000"/>
    </w:rPr>
  </w:style>
  <w:style w:type="character" w:customStyle="1" w:styleId="39">
    <w:name w:val="starting1"/>
    <w:basedOn w:val="6"/>
    <w:qFormat/>
    <w:uiPriority w:val="0"/>
    <w:rPr>
      <w:color w:val="339900"/>
    </w:rPr>
  </w:style>
  <w:style w:type="character" w:customStyle="1" w:styleId="40">
    <w:name w:val="starting2"/>
    <w:basedOn w:val="6"/>
    <w:qFormat/>
    <w:uiPriority w:val="0"/>
  </w:style>
  <w:style w:type="character" w:customStyle="1" w:styleId="41">
    <w:name w:val="starting3"/>
    <w:basedOn w:val="6"/>
    <w:qFormat/>
    <w:uiPriority w:val="0"/>
  </w:style>
  <w:style w:type="character" w:customStyle="1" w:styleId="42">
    <w:name w:val="starting4"/>
    <w:basedOn w:val="6"/>
    <w:qFormat/>
    <w:uiPriority w:val="0"/>
    <w:rPr>
      <w:color w:val="339900"/>
    </w:rPr>
  </w:style>
  <w:style w:type="character" w:customStyle="1" w:styleId="43">
    <w:name w:val="nostart"/>
    <w:basedOn w:val="6"/>
    <w:qFormat/>
    <w:uiPriority w:val="0"/>
    <w:rPr>
      <w:color w:val="B60000"/>
    </w:rPr>
  </w:style>
  <w:style w:type="character" w:customStyle="1" w:styleId="44">
    <w:name w:val="nostart1"/>
    <w:basedOn w:val="6"/>
    <w:qFormat/>
    <w:uiPriority w:val="0"/>
    <w:rPr>
      <w:color w:val="FF0000"/>
    </w:rPr>
  </w:style>
  <w:style w:type="character" w:customStyle="1" w:styleId="45">
    <w:name w:val="nostart2"/>
    <w:basedOn w:val="6"/>
    <w:qFormat/>
    <w:uiPriority w:val="0"/>
  </w:style>
  <w:style w:type="character" w:customStyle="1" w:styleId="46">
    <w:name w:val="nostart3"/>
    <w:basedOn w:val="6"/>
    <w:qFormat/>
    <w:uiPriority w:val="0"/>
    <w:rPr>
      <w:color w:val="FF0000"/>
    </w:rPr>
  </w:style>
  <w:style w:type="character" w:customStyle="1" w:styleId="47">
    <w:name w:val="red"/>
    <w:basedOn w:val="6"/>
    <w:qFormat/>
    <w:uiPriority w:val="0"/>
    <w:rPr>
      <w:rFonts w:hint="default" w:ascii="Arial" w:hAnsi="Arial" w:cs="Arial"/>
      <w:color w:val="E50000"/>
    </w:rPr>
  </w:style>
  <w:style w:type="character" w:customStyle="1" w:styleId="48">
    <w:name w:val="img_title10"/>
    <w:basedOn w:val="6"/>
    <w:qFormat/>
    <w:uiPriority w:val="0"/>
    <w:rPr>
      <w:vanish/>
    </w:rPr>
  </w:style>
  <w:style w:type="character" w:customStyle="1" w:styleId="49">
    <w:name w:val="img_title11"/>
    <w:basedOn w:val="6"/>
    <w:qFormat/>
    <w:uiPriority w:val="0"/>
    <w:rPr>
      <w:vanish/>
    </w:rPr>
  </w:style>
  <w:style w:type="character" w:customStyle="1" w:styleId="50">
    <w:name w:val="img_title12"/>
    <w:basedOn w:val="6"/>
    <w:qFormat/>
    <w:uiPriority w:val="0"/>
    <w:rPr>
      <w:vanish/>
    </w:rPr>
  </w:style>
  <w:style w:type="character" w:customStyle="1" w:styleId="51">
    <w:name w:val="img_title13"/>
    <w:basedOn w:val="6"/>
    <w:qFormat/>
    <w:uiPriority w:val="0"/>
    <w:rPr>
      <w:vanish/>
    </w:rPr>
  </w:style>
  <w:style w:type="character" w:customStyle="1" w:styleId="52">
    <w:name w:val="buvis"/>
    <w:basedOn w:val="6"/>
    <w:qFormat/>
    <w:uiPriority w:val="0"/>
    <w:rPr>
      <w:color w:val="999999"/>
    </w:rPr>
  </w:style>
  <w:style w:type="character" w:customStyle="1" w:styleId="53">
    <w:name w:val="buvis1"/>
    <w:basedOn w:val="6"/>
    <w:qFormat/>
    <w:uiPriority w:val="0"/>
    <w:rPr>
      <w:color w:val="CC0000"/>
    </w:rPr>
  </w:style>
  <w:style w:type="character" w:customStyle="1" w:styleId="54">
    <w:name w:val="tit11"/>
    <w:basedOn w:val="6"/>
    <w:qFormat/>
    <w:uiPriority w:val="0"/>
    <w:rPr>
      <w:color w:val="FFFFFF"/>
    </w:rPr>
  </w:style>
  <w:style w:type="character" w:customStyle="1" w:styleId="55">
    <w:name w:val="tit12"/>
    <w:basedOn w:val="6"/>
    <w:qFormat/>
    <w:uiPriority w:val="0"/>
    <w:rPr>
      <w:color w:val="B60000"/>
    </w:rPr>
  </w:style>
  <w:style w:type="character" w:customStyle="1" w:styleId="56">
    <w:name w:val="tit13"/>
    <w:basedOn w:val="6"/>
    <w:qFormat/>
    <w:uiPriority w:val="0"/>
    <w:rPr>
      <w:color w:val="B60000"/>
    </w:rPr>
  </w:style>
  <w:style w:type="character" w:customStyle="1" w:styleId="57">
    <w:name w:val="tit14"/>
    <w:basedOn w:val="6"/>
    <w:qFormat/>
    <w:uiPriority w:val="0"/>
    <w:rPr>
      <w:color w:val="B60000"/>
    </w:rPr>
  </w:style>
  <w:style w:type="character" w:customStyle="1" w:styleId="58">
    <w:name w:val="tit15"/>
    <w:basedOn w:val="6"/>
    <w:qFormat/>
    <w:uiPriority w:val="0"/>
    <w:rPr>
      <w:b/>
      <w:color w:val="B60000"/>
    </w:rPr>
  </w:style>
  <w:style w:type="character" w:customStyle="1" w:styleId="59">
    <w:name w:val="tit16"/>
    <w:basedOn w:val="6"/>
    <w:qFormat/>
    <w:uiPriority w:val="0"/>
    <w:rPr>
      <w:color w:val="B60000"/>
      <w:sz w:val="27"/>
      <w:szCs w:val="27"/>
      <w:bdr w:val="single" w:color="DFCEB8" w:sz="6" w:space="0"/>
      <w:shd w:val="clear" w:fill="FFFFFF"/>
    </w:rPr>
  </w:style>
  <w:style w:type="character" w:customStyle="1" w:styleId="60">
    <w:name w:val="tit17"/>
    <w:basedOn w:val="6"/>
    <w:qFormat/>
    <w:uiPriority w:val="0"/>
    <w:rPr>
      <w:color w:val="04A06C"/>
    </w:rPr>
  </w:style>
  <w:style w:type="character" w:customStyle="1" w:styleId="61">
    <w:name w:val="unit"/>
    <w:basedOn w:val="6"/>
    <w:qFormat/>
    <w:uiPriority w:val="0"/>
    <w:rPr>
      <w:color w:val="999999"/>
    </w:rPr>
  </w:style>
  <w:style w:type="character" w:customStyle="1" w:styleId="62">
    <w:name w:val="datetime"/>
    <w:basedOn w:val="6"/>
    <w:qFormat/>
    <w:uiPriority w:val="0"/>
    <w:rPr>
      <w:rFonts w:hint="default" w:ascii="Arial" w:hAnsi="Arial" w:cs="Arial"/>
      <w:color w:val="999999"/>
      <w:sz w:val="21"/>
      <w:szCs w:val="21"/>
    </w:rPr>
  </w:style>
  <w:style w:type="character" w:customStyle="1" w:styleId="63">
    <w:name w:val="c3"/>
    <w:basedOn w:val="6"/>
    <w:qFormat/>
    <w:uiPriority w:val="0"/>
  </w:style>
  <w:style w:type="character" w:customStyle="1" w:styleId="64">
    <w:name w:val="c1"/>
    <w:basedOn w:val="6"/>
    <w:qFormat/>
    <w:uiPriority w:val="0"/>
  </w:style>
  <w:style w:type="character" w:customStyle="1" w:styleId="65">
    <w:name w:val="c2"/>
    <w:basedOn w:val="6"/>
    <w:qFormat/>
    <w:uiPriority w:val="0"/>
  </w:style>
  <w:style w:type="character" w:customStyle="1" w:styleId="66">
    <w:name w:val="bsharetext"/>
    <w:basedOn w:val="6"/>
    <w:qFormat/>
    <w:uiPriority w:val="0"/>
  </w:style>
  <w:style w:type="character" w:customStyle="1" w:styleId="67">
    <w:name w:val="num210"/>
    <w:basedOn w:val="6"/>
    <w:qFormat/>
    <w:uiPriority w:val="0"/>
  </w:style>
  <w:style w:type="character" w:customStyle="1" w:styleId="68">
    <w:name w:val="num31"/>
    <w:basedOn w:val="6"/>
    <w:qFormat/>
    <w:uiPriority w:val="0"/>
  </w:style>
  <w:style w:type="character" w:customStyle="1" w:styleId="69">
    <w:name w:val="num41"/>
    <w:basedOn w:val="6"/>
    <w:qFormat/>
    <w:uiPriority w:val="0"/>
  </w:style>
  <w:style w:type="character" w:customStyle="1" w:styleId="70">
    <w:name w:val="num51"/>
    <w:basedOn w:val="6"/>
    <w:qFormat/>
    <w:uiPriority w:val="0"/>
  </w:style>
  <w:style w:type="character" w:customStyle="1" w:styleId="71">
    <w:name w:val="num61"/>
    <w:basedOn w:val="6"/>
    <w:qFormat/>
    <w:uiPriority w:val="0"/>
  </w:style>
  <w:style w:type="character" w:customStyle="1" w:styleId="72">
    <w:name w:val="num71"/>
    <w:basedOn w:val="6"/>
    <w:qFormat/>
    <w:uiPriority w:val="0"/>
  </w:style>
  <w:style w:type="character" w:customStyle="1" w:styleId="73">
    <w:name w:val="num81"/>
    <w:basedOn w:val="6"/>
    <w:qFormat/>
    <w:uiPriority w:val="0"/>
  </w:style>
  <w:style w:type="character" w:customStyle="1" w:styleId="74">
    <w:name w:val="l1"/>
    <w:basedOn w:val="6"/>
    <w:qFormat/>
    <w:uiPriority w:val="0"/>
    <w:rPr>
      <w:color w:val="999999"/>
    </w:rPr>
  </w:style>
  <w:style w:type="character" w:customStyle="1" w:styleId="75">
    <w:name w:val="l7"/>
    <w:basedOn w:val="6"/>
    <w:qFormat/>
    <w:uiPriority w:val="0"/>
    <w:rPr>
      <w:color w:val="999999"/>
    </w:rPr>
  </w:style>
  <w:style w:type="character" w:customStyle="1" w:styleId="76">
    <w:name w:val="l5"/>
    <w:basedOn w:val="6"/>
    <w:qFormat/>
    <w:uiPriority w:val="0"/>
    <w:rPr>
      <w:color w:val="999999"/>
    </w:rPr>
  </w:style>
  <w:style w:type="character" w:customStyle="1" w:styleId="77">
    <w:name w:val="l4"/>
    <w:basedOn w:val="6"/>
    <w:qFormat/>
    <w:uiPriority w:val="0"/>
    <w:rPr>
      <w:color w:val="999999"/>
    </w:rPr>
  </w:style>
  <w:style w:type="character" w:customStyle="1" w:styleId="78">
    <w:name w:val="l21"/>
    <w:basedOn w:val="6"/>
    <w:qFormat/>
    <w:uiPriority w:val="0"/>
    <w:rPr>
      <w:color w:val="999999"/>
    </w:rPr>
  </w:style>
  <w:style w:type="character" w:customStyle="1" w:styleId="79">
    <w:name w:val="l31"/>
    <w:basedOn w:val="6"/>
    <w:qFormat/>
    <w:uiPriority w:val="0"/>
    <w:rPr>
      <w:color w:val="999999"/>
    </w:rPr>
  </w:style>
  <w:style w:type="character" w:customStyle="1" w:styleId="80">
    <w:name w:val="l6"/>
    <w:basedOn w:val="6"/>
    <w:qFormat/>
    <w:uiPriority w:val="0"/>
    <w:rPr>
      <w:color w:val="999999"/>
    </w:rPr>
  </w:style>
  <w:style w:type="character" w:customStyle="1" w:styleId="81">
    <w:name w:val="jg"/>
    <w:basedOn w:val="6"/>
    <w:qFormat/>
    <w:uiPriority w:val="0"/>
  </w:style>
  <w:style w:type="character" w:customStyle="1" w:styleId="82">
    <w:name w:val="msg-box32"/>
    <w:basedOn w:val="6"/>
    <w:qFormat/>
    <w:uiPriority w:val="0"/>
  </w:style>
  <w:style w:type="character" w:customStyle="1" w:styleId="83">
    <w:name w:val="msg-box33"/>
    <w:basedOn w:val="6"/>
    <w:qFormat/>
    <w:uiPriority w:val="0"/>
  </w:style>
  <w:style w:type="character" w:customStyle="1" w:styleId="84">
    <w:name w:val="msg-box34"/>
    <w:basedOn w:val="6"/>
    <w:qFormat/>
    <w:uiPriority w:val="0"/>
  </w:style>
  <w:style w:type="character" w:customStyle="1" w:styleId="85">
    <w:name w:val="msg-box35"/>
    <w:basedOn w:val="6"/>
    <w:qFormat/>
    <w:uiPriority w:val="0"/>
  </w:style>
  <w:style w:type="character" w:customStyle="1" w:styleId="86">
    <w:name w:val="name"/>
    <w:basedOn w:val="6"/>
    <w:qFormat/>
    <w:uiPriority w:val="0"/>
    <w:rPr>
      <w:color w:val="444444"/>
      <w:sz w:val="21"/>
      <w:szCs w:val="21"/>
    </w:rPr>
  </w:style>
  <w:style w:type="character" w:customStyle="1" w:styleId="87">
    <w:name w:val="name1"/>
    <w:basedOn w:val="6"/>
    <w:qFormat/>
    <w:uiPriority w:val="0"/>
    <w:rPr>
      <w:color w:val="000000"/>
      <w:sz w:val="39"/>
      <w:szCs w:val="39"/>
    </w:rPr>
  </w:style>
  <w:style w:type="character" w:customStyle="1" w:styleId="88">
    <w:name w:val="name2"/>
    <w:basedOn w:val="6"/>
    <w:qFormat/>
    <w:uiPriority w:val="0"/>
    <w:rPr>
      <w:color w:val="695435"/>
      <w:sz w:val="24"/>
      <w:szCs w:val="24"/>
    </w:rPr>
  </w:style>
  <w:style w:type="character" w:customStyle="1" w:styleId="89">
    <w:name w:val="shixiao"/>
    <w:basedOn w:val="6"/>
    <w:qFormat/>
    <w:uiPriority w:val="0"/>
  </w:style>
  <w:style w:type="character" w:customStyle="1" w:styleId="90">
    <w:name w:val="zs"/>
    <w:basedOn w:val="6"/>
    <w:qFormat/>
    <w:uiPriority w:val="0"/>
    <w:rPr>
      <w:color w:val="8D744B"/>
      <w:sz w:val="18"/>
      <w:szCs w:val="18"/>
    </w:rPr>
  </w:style>
  <w:style w:type="character" w:customStyle="1" w:styleId="91">
    <w:name w:val="p05"/>
    <w:basedOn w:val="6"/>
    <w:qFormat/>
    <w:uiPriority w:val="0"/>
  </w:style>
  <w:style w:type="character" w:customStyle="1" w:styleId="92">
    <w:name w:val="zw"/>
    <w:basedOn w:val="6"/>
    <w:qFormat/>
    <w:uiPriority w:val="0"/>
    <w:rPr>
      <w:color w:val="BD1E22"/>
      <w:sz w:val="22"/>
      <w:szCs w:val="22"/>
    </w:rPr>
  </w:style>
  <w:style w:type="character" w:customStyle="1" w:styleId="93">
    <w:name w:val="job"/>
    <w:basedOn w:val="6"/>
    <w:qFormat/>
    <w:uiPriority w:val="0"/>
  </w:style>
  <w:style w:type="character" w:customStyle="1" w:styleId="94">
    <w:name w:val="job1"/>
    <w:basedOn w:val="6"/>
    <w:qFormat/>
    <w:uiPriority w:val="0"/>
  </w:style>
  <w:style w:type="paragraph" w:customStyle="1" w:styleId="95">
    <w:name w:val="p6"/>
    <w:basedOn w:val="1"/>
    <w:qFormat/>
    <w:uiPriority w:val="0"/>
    <w:pPr>
      <w:pBdr>
        <w:right w:val="none" w:color="auto" w:sz="0" w:space="0"/>
      </w:pBdr>
      <w:jc w:val="left"/>
    </w:pPr>
    <w:rPr>
      <w:kern w:val="0"/>
      <w:lang w:val="en-US" w:eastAsia="zh-CN" w:bidi="ar"/>
    </w:rPr>
  </w:style>
  <w:style w:type="paragraph" w:customStyle="1" w:styleId="96">
    <w:name w:val="p61"/>
    <w:basedOn w:val="1"/>
    <w:qFormat/>
    <w:uiPriority w:val="0"/>
    <w:pPr>
      <w:jc w:val="left"/>
    </w:pPr>
    <w:rPr>
      <w:kern w:val="0"/>
      <w:lang w:val="en-US" w:eastAsia="zh-CN" w:bidi="ar"/>
    </w:rPr>
  </w:style>
  <w:style w:type="paragraph" w:customStyle="1" w:styleId="97">
    <w:name w:val="p62"/>
    <w:basedOn w:val="1"/>
    <w:qFormat/>
    <w:uiPriority w:val="0"/>
    <w:pPr>
      <w:jc w:val="left"/>
    </w:pPr>
    <w:rPr>
      <w:rFonts w:hint="default" w:ascii="Arial" w:hAnsi="Arial" w:cs="Arial"/>
      <w:kern w:val="0"/>
      <w:lang w:val="en-US" w:eastAsia="zh-CN" w:bidi="ar"/>
    </w:rPr>
  </w:style>
  <w:style w:type="paragraph" w:customStyle="1" w:styleId="98">
    <w:name w:val="p63"/>
    <w:basedOn w:val="1"/>
    <w:qFormat/>
    <w:uiPriority w:val="0"/>
    <w:pPr>
      <w:pBdr>
        <w:right w:val="none" w:color="auto" w:sz="0" w:space="0"/>
      </w:pBdr>
      <w:jc w:val="left"/>
    </w:pPr>
    <w:rPr>
      <w:kern w:val="0"/>
      <w:lang w:val="en-US" w:eastAsia="zh-CN" w:bidi="ar"/>
    </w:rPr>
  </w:style>
  <w:style w:type="paragraph" w:customStyle="1" w:styleId="99">
    <w:name w:val="p64"/>
    <w:basedOn w:val="1"/>
    <w:qFormat/>
    <w:uiPriority w:val="0"/>
    <w:pPr>
      <w:jc w:val="left"/>
    </w:pPr>
    <w:rPr>
      <w:kern w:val="0"/>
      <w:lang w:val="en-US" w:eastAsia="zh-CN" w:bidi="ar"/>
    </w:rPr>
  </w:style>
  <w:style w:type="paragraph" w:customStyle="1" w:styleId="100">
    <w:name w:val="p65"/>
    <w:basedOn w:val="1"/>
    <w:qFormat/>
    <w:uiPriority w:val="0"/>
    <w:pPr>
      <w:jc w:val="left"/>
    </w:pPr>
    <w:rPr>
      <w:kern w:val="0"/>
      <w:lang w:val="en-US" w:eastAsia="zh-CN" w:bidi="ar"/>
    </w:rPr>
  </w:style>
  <w:style w:type="character" w:customStyle="1" w:styleId="101">
    <w:name w:val="tit18"/>
    <w:basedOn w:val="6"/>
    <w:qFormat/>
    <w:uiPriority w:val="0"/>
    <w:rPr>
      <w:color w:val="04A06C"/>
    </w:rPr>
  </w:style>
  <w:style w:type="character" w:customStyle="1" w:styleId="102">
    <w:name w:val="img2"/>
    <w:basedOn w:val="6"/>
    <w:qFormat/>
    <w:uiPriority w:val="0"/>
  </w:style>
  <w:style w:type="character" w:customStyle="1" w:styleId="103">
    <w:name w:val="txt3"/>
    <w:basedOn w:val="6"/>
    <w:qFormat/>
    <w:uiPriority w:val="0"/>
    <w:rPr>
      <w:color w:val="C0C0C0"/>
    </w:rPr>
  </w:style>
  <w:style w:type="character" w:customStyle="1" w:styleId="104">
    <w:name w:val="txt4"/>
    <w:basedOn w:val="6"/>
    <w:qFormat/>
    <w:uiPriority w:val="0"/>
  </w:style>
  <w:style w:type="character" w:customStyle="1" w:styleId="105">
    <w:name w:val="l3"/>
    <w:basedOn w:val="6"/>
    <w:qFormat/>
    <w:uiPriority w:val="0"/>
    <w:rPr>
      <w:color w:val="999999"/>
    </w:rPr>
  </w:style>
  <w:style w:type="character" w:customStyle="1" w:styleId="106">
    <w:name w:val="l51"/>
    <w:basedOn w:val="6"/>
    <w:qFormat/>
    <w:uiPriority w:val="0"/>
    <w:rPr>
      <w:color w:val="999999"/>
    </w:rPr>
  </w:style>
  <w:style w:type="character" w:customStyle="1" w:styleId="107">
    <w:name w:val="l71"/>
    <w:basedOn w:val="6"/>
    <w:qFormat/>
    <w:uiPriority w:val="0"/>
    <w:rPr>
      <w:color w:val="999999"/>
    </w:rPr>
  </w:style>
  <w:style w:type="character" w:customStyle="1" w:styleId="108">
    <w:name w:val="num4"/>
    <w:basedOn w:val="6"/>
    <w:qFormat/>
    <w:uiPriority w:val="0"/>
  </w:style>
  <w:style w:type="character" w:customStyle="1" w:styleId="109">
    <w:name w:val="tit"/>
    <w:basedOn w:val="6"/>
    <w:qFormat/>
    <w:uiPriority w:val="0"/>
    <w:rPr>
      <w:color w:val="FFFFFF"/>
    </w:rPr>
  </w:style>
  <w:style w:type="character" w:customStyle="1" w:styleId="110">
    <w:name w:val="tit1"/>
    <w:basedOn w:val="6"/>
    <w:qFormat/>
    <w:uiPriority w:val="0"/>
    <w:rPr>
      <w:color w:val="B60000"/>
      <w:sz w:val="27"/>
      <w:szCs w:val="27"/>
      <w:bdr w:val="single" w:color="DFCEB8" w:sz="6" w:space="0"/>
      <w:shd w:val="clear" w:fill="FFFFFF"/>
    </w:rPr>
  </w:style>
  <w:style w:type="character" w:customStyle="1" w:styleId="111">
    <w:name w:val="tit2"/>
    <w:basedOn w:val="6"/>
    <w:qFormat/>
    <w:uiPriority w:val="0"/>
    <w:rPr>
      <w:color w:val="B60000"/>
    </w:rPr>
  </w:style>
  <w:style w:type="character" w:customStyle="1" w:styleId="112">
    <w:name w:val="tit3"/>
    <w:basedOn w:val="6"/>
    <w:qFormat/>
    <w:uiPriority w:val="0"/>
    <w:rPr>
      <w:color w:val="B60000"/>
    </w:rPr>
  </w:style>
  <w:style w:type="character" w:customStyle="1" w:styleId="113">
    <w:name w:val="tit4"/>
    <w:basedOn w:val="6"/>
    <w:qFormat/>
    <w:uiPriority w:val="0"/>
    <w:rPr>
      <w:color w:val="B60000"/>
    </w:rPr>
  </w:style>
  <w:style w:type="character" w:customStyle="1" w:styleId="114">
    <w:name w:val="tit5"/>
    <w:basedOn w:val="6"/>
    <w:qFormat/>
    <w:uiPriority w:val="0"/>
    <w:rPr>
      <w:b/>
      <w:color w:val="B60000"/>
    </w:rPr>
  </w:style>
  <w:style w:type="character" w:customStyle="1" w:styleId="115">
    <w:name w:val="tit6"/>
    <w:basedOn w:val="6"/>
    <w:qFormat/>
    <w:uiPriority w:val="0"/>
    <w:rPr>
      <w:color w:val="04A06C"/>
    </w:rPr>
  </w:style>
  <w:style w:type="character" w:customStyle="1" w:styleId="116">
    <w:name w:val="img_title"/>
    <w:basedOn w:val="6"/>
    <w:qFormat/>
    <w:uiPriority w:val="0"/>
    <w:rPr>
      <w:vanish/>
    </w:rPr>
  </w:style>
  <w:style w:type="character" w:customStyle="1" w:styleId="117">
    <w:name w:val="img_title1"/>
    <w:basedOn w:val="6"/>
    <w:qFormat/>
    <w:uiPriority w:val="0"/>
    <w:rPr>
      <w:vanish/>
    </w:rPr>
  </w:style>
  <w:style w:type="character" w:customStyle="1" w:styleId="118">
    <w:name w:val="img_title2"/>
    <w:basedOn w:val="6"/>
    <w:qFormat/>
    <w:uiPriority w:val="0"/>
    <w:rPr>
      <w:vanish/>
    </w:rPr>
  </w:style>
  <w:style w:type="character" w:customStyle="1" w:styleId="119">
    <w:name w:val="img_title3"/>
    <w:basedOn w:val="6"/>
    <w:qFormat/>
    <w:uiPriority w:val="0"/>
    <w:rPr>
      <w:vanish/>
    </w:rPr>
  </w:style>
  <w:style w:type="character" w:customStyle="1" w:styleId="120">
    <w:name w:val="msg-box"/>
    <w:basedOn w:val="6"/>
    <w:qFormat/>
    <w:uiPriority w:val="0"/>
  </w:style>
  <w:style w:type="character" w:customStyle="1" w:styleId="121">
    <w:name w:val="msg-box1"/>
    <w:basedOn w:val="6"/>
    <w:qFormat/>
    <w:uiPriority w:val="0"/>
  </w:style>
  <w:style w:type="character" w:customStyle="1" w:styleId="122">
    <w:name w:val="msg-box2"/>
    <w:basedOn w:val="6"/>
    <w:qFormat/>
    <w:uiPriority w:val="0"/>
  </w:style>
  <w:style w:type="character" w:customStyle="1" w:styleId="123">
    <w:name w:val="msg-box3"/>
    <w:basedOn w:val="6"/>
    <w:qFormat/>
    <w:uiPriority w:val="0"/>
  </w:style>
  <w:style w:type="character" w:customStyle="1" w:styleId="124">
    <w:name w:val="num3"/>
    <w:basedOn w:val="6"/>
    <w:qFormat/>
    <w:uiPriority w:val="0"/>
  </w:style>
  <w:style w:type="character" w:customStyle="1" w:styleId="125">
    <w:name w:val="l2"/>
    <w:basedOn w:val="6"/>
    <w:qFormat/>
    <w:uiPriority w:val="0"/>
    <w:rPr>
      <w:color w:val="999999"/>
    </w:rPr>
  </w:style>
  <w:style w:type="character" w:customStyle="1" w:styleId="126">
    <w:name w:val="name3"/>
    <w:basedOn w:val="6"/>
    <w:qFormat/>
    <w:uiPriority w:val="0"/>
    <w:rPr>
      <w:color w:val="695435"/>
      <w:sz w:val="24"/>
      <w:szCs w:val="24"/>
    </w:rPr>
  </w:style>
  <w:style w:type="character" w:customStyle="1" w:styleId="127">
    <w:name w:val="l11"/>
    <w:basedOn w:val="6"/>
    <w:qFormat/>
    <w:uiPriority w:val="0"/>
    <w:rPr>
      <w:color w:val="999999"/>
    </w:rPr>
  </w:style>
  <w:style w:type="character" w:customStyle="1" w:styleId="128">
    <w:name w:val="txt20"/>
    <w:basedOn w:val="6"/>
    <w:qFormat/>
    <w:uiPriority w:val="0"/>
    <w:rPr>
      <w:color w:val="C0C0C0"/>
    </w:rPr>
  </w:style>
  <w:style w:type="character" w:customStyle="1" w:styleId="129">
    <w:name w:val="txt21"/>
    <w:basedOn w:val="6"/>
    <w:qFormat/>
    <w:uiPriority w:val="0"/>
  </w:style>
  <w:style w:type="character" w:customStyle="1" w:styleId="130">
    <w:name w:val="img3"/>
    <w:basedOn w:val="6"/>
    <w:qFormat/>
    <w:uiPriority w:val="0"/>
  </w:style>
  <w:style w:type="character" w:customStyle="1" w:styleId="131">
    <w:name w:val="num8"/>
    <w:basedOn w:val="6"/>
    <w:qFormat/>
    <w:uiPriority w:val="0"/>
  </w:style>
  <w:style w:type="character" w:customStyle="1" w:styleId="132">
    <w:name w:val="l41"/>
    <w:basedOn w:val="6"/>
    <w:qFormat/>
    <w:uiPriority w:val="0"/>
    <w:rPr>
      <w:color w:val="99999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88</Company>
  <Pages>11</Pages>
  <Words>6815</Words>
  <Characters>7212</Characters>
  <Lines>0</Lines>
  <Paragraphs>0</Paragraphs>
  <TotalTime>2</TotalTime>
  <ScaleCrop>false</ScaleCrop>
  <LinksUpToDate>false</LinksUpToDate>
  <CharactersWithSpaces>7233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2020-01-06T02:53:00Z</dcterms:created>
  <dc:creator>dhc</dc:creator>
  <cp:lastModifiedBy>Rancho</cp:lastModifiedBy>
  <dcterms:modified xsi:type="dcterms:W3CDTF">2024-09-24T02:47:30Z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DDD1BFA14ECE4B72B431E93718D0E083</vt:lpwstr>
  </property>
</Properties>
</file>