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5.11.0.0 -->
  <w:body>
    <w:p>
      <w:pPr>
        <w:spacing w:line="900" w:lineRule="exact"/>
        <w:jc w:val="center"/>
        <w:rPr>
          <w:rFonts w:ascii="方正大标宋简体" w:eastAsia="方正大标宋简体" w:hAnsi="方正大标宋简体" w:cs="方正大标宋简体" w:hint="eastAsia"/>
          <w:color w:val="FF0000"/>
          <w:sz w:val="50"/>
          <w:szCs w:val="50"/>
        </w:rPr>
      </w:pPr>
    </w:p>
    <w:p>
      <w:pPr>
        <w:spacing w:line="900" w:lineRule="exact"/>
        <w:jc w:val="center"/>
        <w:rPr>
          <w:rFonts w:ascii="方正大标宋简体" w:eastAsia="方正大标宋简体" w:hAnsi="方正大标宋简体" w:cs="方正大标宋简体" w:hint="eastAsia"/>
          <w:color w:val="FF0000"/>
          <w:sz w:val="50"/>
          <w:szCs w:val="50"/>
        </w:rPr>
      </w:pPr>
    </w:p>
    <w:p>
      <w:pPr>
        <w:pStyle w:val="Default"/>
        <w:rPr>
          <w:rFonts w:hint="eastAsia"/>
        </w:rPr>
      </w:pPr>
    </w:p>
    <w:p>
      <w:pPr>
        <w:spacing w:line="900" w:lineRule="exact"/>
        <w:jc w:val="center"/>
        <w:rPr>
          <w:rFonts w:ascii="方正大标宋简体" w:eastAsia="方正大标宋简体" w:hAnsi="方正大标宋简体" w:cs="方正大标宋简体" w:hint="eastAsia"/>
          <w:color w:val="FF0000"/>
          <w:sz w:val="50"/>
          <w:szCs w:val="50"/>
        </w:rPr>
      </w:pPr>
      <w:r>
        <w:rPr>
          <w:rFonts w:ascii="方正大标宋简体" w:eastAsia="方正大标宋简体" w:hAnsi="方正大标宋简体" w:cs="方正大标宋简体" w:hint="eastAsia"/>
          <w:color w:val="FF0000"/>
          <w:sz w:val="50"/>
          <w:szCs w:val="50"/>
        </w:rPr>
        <w:t>广 西 壮 族 自 治 区 柳 州 市</w:t>
      </w:r>
    </w:p>
    <w:p>
      <w:pPr>
        <w:spacing w:line="300" w:lineRule="exact"/>
        <w:jc w:val="center"/>
        <w:rPr>
          <w:rFonts w:hint="eastAsia"/>
          <w:b/>
          <w:bCs/>
          <w:color w:val="FF0000"/>
          <w:sz w:val="44"/>
          <w:szCs w:val="44"/>
        </w:rPr>
      </w:pPr>
    </w:p>
    <w:p>
      <w:pPr>
        <w:jc w:val="center"/>
        <w:rPr>
          <w:rFonts w:ascii="方正大标宋简体" w:eastAsia="方正大标宋简体" w:hAnsi="方正大标宋简体" w:cs="方正大标宋简体" w:hint="eastAsia"/>
          <w:bCs/>
          <w:color w:val="FF0000"/>
          <w:sz w:val="84"/>
          <w:szCs w:val="84"/>
        </w:rPr>
      </w:pPr>
      <w:r>
        <w:rPr>
          <w:rFonts w:ascii="方正大标宋简体" w:eastAsia="方正大标宋简体" w:hAnsi="方正大标宋简体" w:cs="方正大标宋简体" w:hint="eastAsia"/>
          <w:bCs/>
          <w:color w:val="FF0000"/>
          <w:kern w:val="32"/>
          <w:sz w:val="72"/>
          <w:szCs w:val="72"/>
        </w:rPr>
        <w:t>市场监督管理局办公室文件</w:t>
      </w:r>
    </w:p>
    <w:p>
      <w:pPr>
        <w:spacing w:line="560" w:lineRule="exact"/>
        <w:rPr>
          <w:rFonts w:ascii="仿宋_GB2312" w:eastAsia="仿宋_GB2312" w:hAnsi="华文仿宋" w:hint="eastAsia"/>
          <w:sz w:val="32"/>
          <w:szCs w:val="32"/>
        </w:rPr>
      </w:pPr>
      <w:r>
        <w:rPr>
          <w:rFonts w:hint="eastAsia"/>
          <w:sz w:val="32"/>
        </w:rPr>
        <w:t xml:space="preserve">            </w:t>
      </w:r>
    </w:p>
    <w:p>
      <w:pPr>
        <w:spacing w:line="560" w:lineRule="exact"/>
        <w:rPr>
          <w:rFonts w:ascii="仿宋_GB2312" w:eastAsia="仿宋_GB2312" w:hAnsi="华文仿宋" w:hint="eastAsia"/>
          <w:sz w:val="32"/>
          <w:szCs w:val="32"/>
        </w:rPr>
      </w:pPr>
    </w:p>
    <w:p>
      <w:pPr>
        <w:spacing w:line="520" w:lineRule="exact"/>
        <w:jc w:val="center"/>
        <w:rPr>
          <w:rFonts w:ascii="仿宋_GB2312" w:eastAsia="仿宋_GB2312" w:hAnsi="华文仿宋" w:hint="eastAsia"/>
          <w:sz w:val="32"/>
          <w:szCs w:val="32"/>
        </w:rPr>
      </w:pPr>
      <w:r>
        <w:rPr>
          <w:rFonts w:ascii="仿宋_GB2312" w:eastAsia="仿宋_GB2312" w:hAnsi="华文仿宋" w:hint="eastAsia"/>
          <w:sz w:val="32"/>
          <w:szCs w:val="32"/>
        </w:rPr>
        <w:t>柳市监</w:t>
      </w:r>
      <w:r>
        <w:rPr>
          <w:rFonts w:ascii="仿宋_GB2312" w:eastAsia="仿宋_GB2312" w:hAnsi="华文仿宋" w:hint="eastAsia"/>
          <w:sz w:val="32"/>
          <w:szCs w:val="32"/>
          <w:lang w:eastAsia="zh-CN"/>
        </w:rPr>
        <w:t>规</w:t>
      </w:r>
      <w:r>
        <w:rPr>
          <w:rFonts w:ascii="仿宋_GB2312" w:eastAsia="仿宋_GB2312" w:hAnsi="华文仿宋" w:hint="eastAsia"/>
          <w:sz w:val="32"/>
          <w:szCs w:val="32"/>
        </w:rPr>
        <w:t>〔202</w:t>
      </w:r>
      <w:r>
        <w:rPr>
          <w:rFonts w:ascii="仿宋_GB2312" w:eastAsia="仿宋_GB2312" w:hAnsi="华文仿宋" w:hint="eastAsia"/>
          <w:sz w:val="32"/>
          <w:szCs w:val="32"/>
          <w:lang w:val="en-US" w:eastAsia="zh-CN"/>
        </w:rPr>
        <w:t>1</w:t>
      </w:r>
      <w:r>
        <w:rPr>
          <w:rFonts w:ascii="仿宋_GB2312" w:eastAsia="仿宋_GB2312" w:hAnsi="华文仿宋" w:hint="eastAsia"/>
          <w:sz w:val="32"/>
          <w:szCs w:val="32"/>
        </w:rPr>
        <w:t>〕</w:t>
      </w:r>
      <w:r>
        <w:rPr>
          <w:rFonts w:ascii="仿宋_GB2312" w:eastAsia="仿宋_GB2312" w:hAnsi="华文仿宋" w:hint="eastAsia"/>
          <w:sz w:val="32"/>
          <w:szCs w:val="32"/>
          <w:lang w:val="en-US" w:eastAsia="zh-CN"/>
        </w:rPr>
        <w:t>1</w:t>
      </w:r>
      <w:r>
        <w:rPr>
          <w:rFonts w:ascii="仿宋_GB2312" w:eastAsia="仿宋_GB2312" w:hAnsi="华文仿宋" w:hint="eastAsia"/>
          <w:sz w:val="32"/>
          <w:szCs w:val="32"/>
        </w:rPr>
        <w:t>号</w:t>
      </w:r>
    </w:p>
    <w:p>
      <w:pPr>
        <w:ind w:firstLine="4410" w:firstLineChars="2100"/>
        <w:rPr>
          <w:rFonts w:ascii="方正小标宋简体" w:eastAsia="方正小标宋简体" w:hAnsi="Calibri" w:cs="Times New Roman" w:hint="eastAsia"/>
          <w:sz w:val="44"/>
          <w:szCs w:val="44"/>
        </w:rPr>
      </w:pPr>
      <w:r>
        <w:rPr>
          <w:rFonts w:hint="eastAsia"/>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238760</wp:posOffset>
                </wp:positionV>
                <wp:extent cx="2857500" cy="0"/>
                <wp:effectExtent l="0" t="19050" r="0" b="19050"/>
                <wp:wrapNone/>
                <wp:docPr id="2" name="直接连接符 2"/>
                <wp:cNvGraphicFramePr/>
                <a:graphic xmlns:a="http://schemas.openxmlformats.org/drawingml/2006/main">
                  <a:graphicData uri="http://schemas.microsoft.com/office/word/2010/wordprocessingShape">
                    <wps:wsp xmlns:wps="http://schemas.microsoft.com/office/word/2010/wordprocessingShape">
                      <wps:cNvCnPr/>
                      <wps:spPr>
                        <a:xfrm>
                          <a:off x="0" y="0"/>
                          <a:ext cx="2857500" cy="0"/>
                        </a:xfrm>
                        <a:prstGeom prst="line">
                          <a:avLst/>
                        </a:prstGeom>
                        <a:ln w="38100">
                          <a:solidFill>
                            <a:srgbClr val="FF0000"/>
                          </a:solidFill>
                          <a:headEnd/>
                          <a:tailEnd/>
                        </a:ln>
                      </wps:spPr>
                      <wps:bodyPr upright="1"/>
                    </wps:wsp>
                  </a:graphicData>
                </a:graphic>
              </wp:anchor>
            </w:drawing>
          </mc:Choice>
          <mc:Fallback>
            <w:pict>
              <v:line id="_x0000_s1026" o:spid="_x0000_s1025" style="mso-height-relative:page;mso-width-relative:page;position:absolute;z-index:251659264" from="-9pt,18.8pt" to="3in,18.8pt" coordsize="21600,21600" stroked="t" strokecolor="red">
                <v:stroke joinstyle="round"/>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238760</wp:posOffset>
                </wp:positionV>
                <wp:extent cx="3086100" cy="0"/>
                <wp:effectExtent l="0" t="19050" r="0" b="19050"/>
                <wp:wrapNone/>
                <wp:docPr id="3" name="直接连接符 3"/>
                <wp:cNvGraphicFramePr/>
                <a:graphic xmlns:a="http://schemas.openxmlformats.org/drawingml/2006/main">
                  <a:graphicData uri="http://schemas.microsoft.com/office/word/2010/wordprocessingShape">
                    <wps:wsp xmlns:wps="http://schemas.microsoft.com/office/word/2010/wordprocessingShape">
                      <wps:cNvCnPr/>
                      <wps:spPr>
                        <a:xfrm>
                          <a:off x="0" y="0"/>
                          <a:ext cx="3086100" cy="0"/>
                        </a:xfrm>
                        <a:prstGeom prst="line">
                          <a:avLst/>
                        </a:prstGeom>
                        <a:ln w="38100">
                          <a:solidFill>
                            <a:srgbClr val="FF0000"/>
                          </a:solidFill>
                          <a:headEnd/>
                          <a:tailEnd/>
                        </a:ln>
                      </wps:spPr>
                      <wps:bodyPr upright="1"/>
                    </wps:wsp>
                  </a:graphicData>
                </a:graphic>
              </wp:anchor>
            </w:drawing>
          </mc:Choice>
          <mc:Fallback>
            <w:pict>
              <v:line id="_x0000_s1026" o:spid="_x0000_s1026" style="mso-height-relative:page;mso-width-relative:page;position:absolute;z-index:251661312" from="3in,18.8pt" to="459pt,18.8pt" coordsize="21600,21600" stroked="t" strokecolor="red">
                <v:stroke joinstyle="round"/>
                <o:lock v:ext="edit" aspectratio="f"/>
              </v:line>
            </w:pict>
          </mc:Fallback>
        </mc:AlternateContent>
      </w:r>
    </w:p>
    <w:p>
      <w:pPr>
        <w:spacing w:line="640" w:lineRule="exact"/>
        <w:jc w:val="center"/>
        <w:rPr>
          <w:rFonts w:ascii="方正小标宋简体" w:eastAsia="方正小标宋简体" w:hAnsi="方正小标宋简体" w:cs="方正小标宋简体" w:hint="eastAsia"/>
          <w:b w:val="0"/>
          <w:bCs w:val="0"/>
          <w:sz w:val="44"/>
          <w:szCs w:val="44"/>
        </w:rPr>
      </w:pPr>
      <w:r>
        <w:rPr>
          <w:rFonts w:ascii="方正小标宋简体" w:eastAsia="方正小标宋简体" w:hAnsi="方正小标宋简体" w:cs="方正小标宋简体" w:hint="eastAsia"/>
          <w:b w:val="0"/>
          <w:bCs w:val="0"/>
          <w:sz w:val="44"/>
          <w:szCs w:val="44"/>
          <w:lang w:eastAsia="zh-CN"/>
        </w:rPr>
        <w:t>柳州市市场监督管理局</w:t>
      </w:r>
      <w:r>
        <w:rPr>
          <w:rFonts w:ascii="方正小标宋简体" w:eastAsia="方正小标宋简体" w:hAnsi="方正小标宋简体" w:cs="方正小标宋简体" w:hint="eastAsia"/>
          <w:b w:val="0"/>
          <w:bCs w:val="0"/>
          <w:sz w:val="44"/>
          <w:szCs w:val="44"/>
          <w:lang w:val="en-US" w:eastAsia="zh-CN"/>
        </w:rPr>
        <w:t>关于印发《</w:t>
      </w:r>
      <w:r>
        <w:rPr>
          <w:rFonts w:ascii="方正小标宋简体" w:eastAsia="方正小标宋简体" w:hAnsi="方正小标宋简体" w:cs="方正小标宋简体" w:hint="eastAsia"/>
          <w:b w:val="0"/>
          <w:bCs w:val="0"/>
          <w:sz w:val="44"/>
          <w:szCs w:val="44"/>
        </w:rPr>
        <w:t>柳州市</w:t>
      </w:r>
    </w:p>
    <w:p>
      <w:pPr>
        <w:spacing w:line="640" w:lineRule="exact"/>
        <w:jc w:val="center"/>
        <w:rPr>
          <w:rFonts w:ascii="方正小标宋简体" w:eastAsia="方正小标宋简体" w:hAnsi="方正小标宋简体" w:cs="方正小标宋简体" w:hint="eastAsia"/>
          <w:b w:val="0"/>
          <w:bCs w:val="0"/>
          <w:sz w:val="44"/>
          <w:szCs w:val="44"/>
        </w:rPr>
      </w:pPr>
      <w:r>
        <w:rPr>
          <w:rFonts w:ascii="方正小标宋简体" w:eastAsia="方正小标宋简体" w:hAnsi="方正小标宋简体" w:cs="方正小标宋简体" w:hint="eastAsia"/>
          <w:b w:val="0"/>
          <w:bCs w:val="0"/>
          <w:sz w:val="44"/>
          <w:szCs w:val="44"/>
        </w:rPr>
        <w:t>市场主体住所和经营场所</w:t>
      </w:r>
      <w:r>
        <w:rPr>
          <w:rFonts w:ascii="方正小标宋简体" w:eastAsia="方正小标宋简体" w:hAnsi="方正小标宋简体" w:cs="方正小标宋简体" w:hint="eastAsia"/>
          <w:b w:val="0"/>
          <w:bCs w:val="0"/>
          <w:color w:val="000000" w:themeColor="text1"/>
          <w:sz w:val="44"/>
          <w:szCs w:val="44"/>
          <w14:textFill>
            <w14:solidFill>
              <w14:schemeClr w14:val="tx1"/>
            </w14:solidFill>
          </w14:textFill>
        </w:rPr>
        <w:t>标准化</w:t>
      </w:r>
      <w:r>
        <w:rPr>
          <w:rFonts w:ascii="方正小标宋简体" w:eastAsia="方正小标宋简体" w:hAnsi="方正小标宋简体" w:cs="方正小标宋简体" w:hint="eastAsia"/>
          <w:b w:val="0"/>
          <w:bCs w:val="0"/>
          <w:sz w:val="44"/>
          <w:szCs w:val="44"/>
        </w:rPr>
        <w:t>登记</w:t>
      </w:r>
    </w:p>
    <w:p>
      <w:pPr>
        <w:spacing w:line="640" w:lineRule="exact"/>
        <w:jc w:val="center"/>
        <w:rPr>
          <w:rFonts w:ascii="方正小标宋简体" w:eastAsia="方正小标宋简体" w:hAnsi="方正小标宋简体" w:cs="方正小标宋简体" w:hint="eastAsia"/>
          <w:b w:val="0"/>
          <w:bCs w:val="0"/>
          <w:sz w:val="44"/>
          <w:szCs w:val="44"/>
          <w:lang w:eastAsia="zh-CN"/>
        </w:rPr>
      </w:pPr>
      <w:r>
        <w:rPr>
          <w:rFonts w:ascii="方正小标宋简体" w:eastAsia="方正小标宋简体" w:hAnsi="方正小标宋简体" w:cs="方正小标宋简体" w:hint="eastAsia"/>
          <w:b w:val="0"/>
          <w:bCs w:val="0"/>
          <w:sz w:val="44"/>
          <w:szCs w:val="44"/>
          <w:lang w:eastAsia="zh-CN"/>
        </w:rPr>
        <w:t>工作指引（试行）》的通知</w:t>
      </w:r>
    </w:p>
    <w:p>
      <w:pPr>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eastAsia="zh-CN"/>
        </w:rPr>
      </w:pPr>
    </w:p>
    <w:p>
      <w:pPr>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r>
        <w:rPr>
          <w:rFonts w:ascii="楷体_GB2312" w:eastAsia="楷体_GB2312" w:hAnsi="楷体_GB2312" w:cs="楷体_GB2312" w:hint="eastAsia"/>
          <w:b w:val="0"/>
          <w:bCs w:val="0"/>
          <w:sz w:val="32"/>
          <w:szCs w:val="32"/>
          <w:lang w:eastAsia="zh-CN"/>
        </w:rPr>
        <w:t>市公安局、市民政局、市财政局、市自然资源和规划局、市住房和城乡建设局、市行政审批局、市大数据发展局：</w:t>
      </w:r>
    </w:p>
    <w:p>
      <w:pPr>
        <w:keepNext w:val="0"/>
        <w:keepLines w:val="0"/>
        <w:pageBreakBefore w:val="0"/>
        <w:widowControl w:val="0"/>
        <w:kinsoku/>
        <w:wordWrap/>
        <w:overflowPunct/>
        <w:topLinePunct w:val="0"/>
        <w:bidi w:val="0"/>
        <w:snapToGrid/>
        <w:spacing w:line="560" w:lineRule="exact"/>
        <w:ind w:right="0" w:firstLine="420" w:rightChars="0" w:firstLineChars="200"/>
        <w:jc w:val="both"/>
        <w:textAlignment w:val="auto"/>
        <w:outlineLvl w:val="9"/>
        <w:rPr>
          <w:rFonts w:ascii="楷体_GB2312" w:eastAsia="楷体_GB2312" w:hAnsi="楷体_GB2312" w:cs="楷体_GB2312" w:hint="eastAsia"/>
          <w:kern w:val="0"/>
          <w:sz w:val="32"/>
          <w:szCs w:val="32"/>
          <w:lang w:val="en-US" w:eastAsia="zh-CN"/>
        </w:rPr>
      </w:pPr>
      <w:r>
        <w:rPr>
          <w:rFonts w:ascii="楷体_GB2312" w:eastAsia="楷体_GB2312" w:hAnsi="楷体_GB2312" w:cs="楷体_GB2312" w:hint="eastAsia"/>
          <w:kern w:val="0"/>
          <w:sz w:val="32"/>
          <w:szCs w:val="32"/>
          <w:lang w:val="en-US" w:eastAsia="zh-CN"/>
        </w:rPr>
        <w:t>为贯彻落实《柳州市市场监督管理局  柳州市行政审批局关于印发柳州市市场主体住所和经营场所标准化登记改革试点实施方案的通知》（柳市监发</w:t>
      </w:r>
      <w:r>
        <w:rPr>
          <w:rFonts w:ascii="仿宋_GB2312" w:eastAsia="仿宋_GB2312" w:hAnsi="仿宋_GB2312" w:cs="仿宋_GB2312" w:hint="eastAsia"/>
          <w:kern w:val="0"/>
          <w:sz w:val="32"/>
          <w:szCs w:val="32"/>
          <w:lang w:val="en-US" w:eastAsia="zh-CN"/>
        </w:rPr>
        <w:t>〔2021〕</w:t>
      </w:r>
      <w:r>
        <w:rPr>
          <w:rFonts w:ascii="楷体_GB2312" w:eastAsia="楷体_GB2312" w:hAnsi="楷体_GB2312" w:cs="楷体_GB2312" w:hint="eastAsia"/>
          <w:kern w:val="0"/>
          <w:sz w:val="32"/>
          <w:szCs w:val="32"/>
          <w:lang w:val="en-US" w:eastAsia="zh-CN"/>
        </w:rPr>
        <w:t>14）文件精神，推进我市标准地址数据的应用，放宽市场主体住所和经营场所登记条件，持续优化营商环境，加强事中事后监管，有效保障经济社会秩序。现将《柳州市市场主体住所和经营场所标准化登记工作指引（试行）》印发给你们，请结合实际认真贯彻执行。</w:t>
      </w:r>
    </w:p>
    <w:p>
      <w:pPr>
        <w:pStyle w:val="Default"/>
        <w:keepNext w:val="0"/>
        <w:keepLines w:val="0"/>
        <w:pageBreakBefore w:val="0"/>
        <w:widowControl w:val="0"/>
        <w:kinsoku/>
        <w:wordWrap/>
        <w:overflowPunct/>
        <w:topLinePunct w:val="0"/>
        <w:bidi w:val="0"/>
        <w:snapToGrid/>
        <w:spacing w:line="560" w:lineRule="exact"/>
        <w:ind w:right="0" w:rightChars="0"/>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center"/>
        <w:textAlignment w:val="auto"/>
        <w:outlineLvl w:val="9"/>
        <w:rPr>
          <w:rFonts w:ascii="楷体_GB2312" w:eastAsia="楷体_GB2312" w:hAnsi="楷体_GB2312" w:cs="楷体_GB2312" w:hint="eastAsia"/>
          <w:b w:val="0"/>
          <w:bCs w:val="0"/>
          <w:sz w:val="32"/>
          <w:szCs w:val="32"/>
          <w:lang w:val="en-US" w:eastAsia="zh-CN"/>
        </w:rPr>
      </w:pPr>
      <w:r>
        <w:rPr>
          <w:rFonts w:ascii="楷体_GB2312" w:eastAsia="楷体_GB2312" w:hAnsi="楷体_GB2312" w:cs="楷体_GB2312" w:hint="eastAsia"/>
          <w:b w:val="0"/>
          <w:bCs w:val="0"/>
          <w:sz w:val="32"/>
          <w:szCs w:val="32"/>
          <w:lang w:val="en-US" w:eastAsia="zh-CN"/>
        </w:rPr>
        <w:t xml:space="preserve">                        柳州市市场监督管理局     </w:t>
      </w:r>
    </w:p>
    <w:p>
      <w:pPr>
        <w:pStyle w:val="Default"/>
        <w:keepNext w:val="0"/>
        <w:keepLines w:val="0"/>
        <w:pageBreakBefore w:val="0"/>
        <w:widowControl w:val="0"/>
        <w:kinsoku/>
        <w:wordWrap/>
        <w:overflowPunct/>
        <w:topLinePunct w:val="0"/>
        <w:bidi w:val="0"/>
        <w:snapToGrid/>
        <w:spacing w:line="560" w:lineRule="exact"/>
        <w:ind w:right="0" w:firstLine="3780" w:rightChars="0" w:firstLineChars="1800"/>
        <w:jc w:val="both"/>
        <w:textAlignment w:val="auto"/>
        <w:outlineLvl w:val="9"/>
        <w:rPr>
          <w:rFonts w:ascii="楷体_GB2312" w:eastAsia="楷体_GB2312" w:hAnsi="楷体_GB2312" w:cs="楷体_GB2312" w:hint="eastAsia"/>
          <w:b w:val="0"/>
          <w:bCs w:val="0"/>
          <w:sz w:val="32"/>
          <w:szCs w:val="32"/>
          <w:lang w:val="en-US" w:eastAsia="zh-CN"/>
        </w:rPr>
      </w:pPr>
      <w:r>
        <w:rPr>
          <w:rFonts w:ascii="楷体_GB2312" w:eastAsia="楷体_GB2312" w:hAnsi="楷体_GB2312" w:cs="楷体_GB2312" w:hint="eastAsia"/>
          <w:b w:val="0"/>
          <w:bCs w:val="0"/>
          <w:sz w:val="32"/>
          <w:szCs w:val="32"/>
          <w:lang w:val="en-US" w:eastAsia="zh-CN"/>
        </w:rPr>
        <w:t>2021年7月12日</w:t>
      </w: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firstLine="4200" w:rightChars="0" w:firstLineChars="2000"/>
        <w:jc w:val="both"/>
        <w:textAlignment w:val="auto"/>
        <w:outlineLvl w:val="9"/>
        <w:rPr>
          <w:rFonts w:ascii="楷体_GB2312" w:eastAsia="楷体_GB2312" w:hAnsi="楷体_GB2312" w:cs="楷体_GB2312" w:hint="eastAsia"/>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leftChars="0" w:rightChars="0" w:firstLineChars="0"/>
        <w:jc w:val="center"/>
        <w:textAlignment w:val="auto"/>
        <w:outlineLvl w:val="9"/>
        <w:rPr>
          <w:rFonts w:ascii="方正小标宋简体" w:eastAsia="方正小标宋简体" w:hAnsi="方正小标宋简体" w:cs="方正小标宋简体" w:hint="eastAsia"/>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left="0" w:right="0" w:firstLine="0" w:leftChars="0" w:rightChars="0" w:firstLineChars="0"/>
        <w:jc w:val="center"/>
        <w:textAlignment w:val="auto"/>
        <w:outlineLvl w:val="9"/>
        <w:rPr>
          <w:rFonts w:ascii="方正小标宋简体" w:eastAsia="方正小标宋简体" w:hAnsi="方正小标宋简体" w:cs="方正小标宋简体" w:hint="eastAsia"/>
          <w:sz w:val="44"/>
          <w:szCs w:val="44"/>
          <w:lang w:val="en-US" w:eastAsia="zh-CN"/>
        </w:rPr>
      </w:pPr>
      <w:r>
        <w:rPr>
          <w:rFonts w:ascii="方正小标宋简体" w:eastAsia="方正小标宋简体" w:hAnsi="方正小标宋简体" w:cs="方正小标宋简体" w:hint="eastAsia"/>
          <w:sz w:val="44"/>
          <w:szCs w:val="44"/>
          <w:lang w:val="en-US" w:eastAsia="zh-CN"/>
        </w:rPr>
        <w:t>柳州市市场主体住所和经营场所</w:t>
      </w:r>
      <w:r>
        <w:rPr>
          <w:rFonts w:ascii="方正小标宋简体" w:eastAsia="方正小标宋简体" w:hAnsi="方正小标宋简体" w:cs="方正小标宋简体" w:hint="eastAsia"/>
          <w:color w:val="auto"/>
          <w:sz w:val="44"/>
          <w:szCs w:val="44"/>
          <w:lang w:val="en-US" w:eastAsia="zh-CN"/>
        </w:rPr>
        <w:t>标准化</w:t>
      </w:r>
      <w:r>
        <w:rPr>
          <w:rFonts w:ascii="方正小标宋简体" w:eastAsia="方正小标宋简体" w:hAnsi="方正小标宋简体" w:cs="方正小标宋简体" w:hint="eastAsia"/>
          <w:sz w:val="44"/>
          <w:szCs w:val="44"/>
          <w:lang w:val="en-US" w:eastAsia="zh-CN"/>
        </w:rPr>
        <w:t>登记</w:t>
      </w:r>
    </w:p>
    <w:p>
      <w:pPr>
        <w:keepNext w:val="0"/>
        <w:keepLines w:val="0"/>
        <w:pageBreakBefore w:val="0"/>
        <w:widowControl w:val="0"/>
        <w:kinsoku/>
        <w:wordWrap/>
        <w:overflowPunct/>
        <w:topLinePunct w:val="0"/>
        <w:autoSpaceDE/>
        <w:autoSpaceDN/>
        <w:bidi w:val="0"/>
        <w:adjustRightInd/>
        <w:snapToGrid/>
        <w:spacing w:line="640" w:lineRule="exact"/>
        <w:ind w:left="0" w:right="0" w:firstLine="0" w:leftChars="0" w:rightChars="0" w:firstLineChars="0"/>
        <w:jc w:val="center"/>
        <w:textAlignment w:val="auto"/>
        <w:outlineLvl w:val="9"/>
        <w:rPr>
          <w:rFonts w:ascii="方正小标宋简体" w:eastAsia="方正小标宋简体" w:hAnsi="方正小标宋简体" w:cs="方正小标宋简体" w:hint="eastAsia"/>
          <w:color w:val="auto"/>
          <w:sz w:val="44"/>
          <w:szCs w:val="44"/>
          <w:lang w:val="en-US" w:eastAsia="zh-CN"/>
        </w:rPr>
      </w:pPr>
      <w:r>
        <w:rPr>
          <w:rFonts w:ascii="方正小标宋简体" w:eastAsia="方正小标宋简体" w:hAnsi="方正小标宋简体" w:cs="方正小标宋简体" w:hint="eastAsia"/>
          <w:color w:val="auto"/>
          <w:sz w:val="44"/>
          <w:szCs w:val="44"/>
          <w:lang w:val="en-US" w:eastAsia="zh-CN"/>
        </w:rPr>
        <w:t>工作指引（试行）</w:t>
      </w:r>
    </w:p>
    <w:p>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outlineLvl w:val="9"/>
        <w:rPr>
          <w:rFonts w:ascii="仿宋_GB2312" w:eastAsia="仿宋_GB2312" w:hAnsi="仿宋_GB2312" w:cs="仿宋_GB2312" w:hint="eastAsia"/>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u w:val="none"/>
          <w:lang w:val="en-US" w:eastAsia="zh-CN"/>
        </w:rPr>
      </w:pPr>
      <w:r>
        <w:rPr>
          <w:rFonts w:ascii="仿宋_GB2312" w:eastAsia="仿宋_GB2312" w:hAnsi="仿宋_GB2312" w:cs="仿宋_GB2312" w:hint="eastAsia"/>
          <w:color w:val="auto"/>
          <w:sz w:val="32"/>
          <w:szCs w:val="32"/>
          <w:lang w:val="en-US" w:eastAsia="zh-CN"/>
        </w:rPr>
        <w:t>为促进市场主体快速发展，推进我市标准地址数据的应用，放宽市场主体住所和经营场所登记条件，持续优化营商环境，加强事中事后监管，有效保障经济社会秩序。根据《中华人民共和国公司法》、《国务院关于印发注册资本登记制度改革方案的通知》（国发</w:t>
      </w:r>
      <w:r>
        <w:rPr>
          <w:rFonts w:ascii="仿宋_GB2312" w:eastAsia="仿宋_GB2312" w:hAnsi="仿宋_GB2312" w:cs="仿宋_GB2312" w:hint="eastAsia"/>
          <w:color w:val="auto"/>
          <w:spacing w:val="0"/>
          <w:sz w:val="32"/>
          <w:szCs w:val="32"/>
          <w:lang w:val="en-US" w:eastAsia="zh-CN"/>
        </w:rPr>
        <w:t>〔2014〕</w:t>
      </w:r>
      <w:r>
        <w:rPr>
          <w:rFonts w:ascii="仿宋_GB2312" w:eastAsia="仿宋_GB2312" w:hAnsi="仿宋_GB2312" w:cs="仿宋_GB2312" w:hint="eastAsia"/>
          <w:color w:val="auto"/>
          <w:sz w:val="32"/>
          <w:szCs w:val="32"/>
          <w:lang w:val="en-US" w:eastAsia="zh-CN"/>
        </w:rPr>
        <w:t>7号）、《广西壮族自治区企业住所和经营场所登记管理办法》（广西壮族自治区人民政府令第104号）等有关规定，结合我市实际，</w:t>
      </w:r>
      <w:r>
        <w:rPr>
          <w:rFonts w:ascii="仿宋_GB2312" w:eastAsia="仿宋_GB2312" w:hAnsi="仿宋_GB2312" w:cs="仿宋_GB2312" w:hint="eastAsia"/>
          <w:color w:val="auto"/>
          <w:sz w:val="32"/>
          <w:szCs w:val="32"/>
          <w:u w:val="none"/>
          <w:lang w:val="en-US" w:eastAsia="zh-CN"/>
        </w:rPr>
        <w:t>制定本工作指引。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b/>
          <w:bCs/>
          <w:color w:val="auto"/>
          <w:sz w:val="32"/>
          <w:szCs w:val="32"/>
          <w:lang w:val="en-US" w:eastAsia="zh-CN"/>
        </w:rPr>
        <w:t>第一条</w:t>
      </w:r>
      <w:r>
        <w:rPr>
          <w:rFonts w:ascii="仿宋_GB2312" w:eastAsia="仿宋_GB2312" w:hAnsi="仿宋_GB2312" w:cs="仿宋_GB2312" w:hint="eastAsia"/>
          <w:color w:val="auto"/>
          <w:sz w:val="32"/>
          <w:szCs w:val="32"/>
          <w:lang w:val="en-US" w:eastAsia="zh-CN"/>
        </w:rPr>
        <w:t xml:space="preserve"> 本</w:t>
      </w:r>
      <w:r>
        <w:rPr>
          <w:rFonts w:ascii="仿宋_GB2312" w:eastAsia="仿宋_GB2312" w:hAnsi="仿宋_GB2312" w:cs="仿宋_GB2312" w:hint="eastAsia"/>
          <w:color w:val="auto"/>
          <w:sz w:val="32"/>
          <w:szCs w:val="32"/>
          <w:u w:val="none"/>
          <w:lang w:val="en-US" w:eastAsia="zh-CN"/>
        </w:rPr>
        <w:t>工作指引</w:t>
      </w:r>
      <w:r>
        <w:rPr>
          <w:rFonts w:ascii="仿宋_GB2312" w:eastAsia="仿宋_GB2312" w:hAnsi="仿宋_GB2312" w:cs="仿宋_GB2312" w:hint="eastAsia"/>
          <w:color w:val="auto"/>
          <w:sz w:val="32"/>
          <w:szCs w:val="32"/>
          <w:lang w:val="en-US" w:eastAsia="zh-CN"/>
        </w:rPr>
        <w:t>所称市场主体是指公司、非公司企业法人、合伙企业、个人独资企业及其分支机构。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420" w:rightChars="0" w:firstLineChars="200"/>
        <w:jc w:val="left"/>
        <w:textAlignment w:val="auto"/>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b/>
          <w:bCs/>
          <w:color w:val="auto"/>
          <w:sz w:val="32"/>
          <w:szCs w:val="32"/>
          <w:u w:val="none"/>
          <w:lang w:val="en-US" w:eastAsia="zh-CN"/>
        </w:rPr>
        <w:t>第二条</w:t>
      </w:r>
      <w:r>
        <w:rPr>
          <w:rFonts w:ascii="仿宋_GB2312" w:eastAsia="仿宋_GB2312" w:hAnsi="仿宋_GB2312" w:cs="仿宋_GB2312" w:hint="eastAsia"/>
          <w:color w:val="auto"/>
          <w:sz w:val="32"/>
          <w:szCs w:val="32"/>
          <w:u w:val="none"/>
          <w:lang w:val="en-US" w:eastAsia="zh-CN"/>
        </w:rPr>
        <w:t xml:space="preserve"> 本工作指引所称住所是指市场主体主要办事机构所在地。</w:t>
      </w:r>
      <w:r>
        <w:rPr>
          <w:rFonts w:ascii="仿宋_GB2312" w:eastAsia="仿宋_GB2312" w:hAnsi="仿宋_GB2312" w:cs="仿宋_GB2312" w:hint="eastAsia"/>
          <w:color w:val="auto"/>
          <w:sz w:val="32"/>
          <w:szCs w:val="32"/>
          <w:lang w:val="en-US" w:eastAsia="zh-CN"/>
        </w:rPr>
        <w:t>经营场所是指市场主体从事经营活动的场所。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420" w:rightChars="0" w:firstLineChars="200"/>
        <w:jc w:val="left"/>
        <w:textAlignment w:val="auto"/>
        <w:rPr>
          <w:rFonts w:ascii="仿宋_GB2312" w:eastAsia="仿宋_GB2312" w:hAnsi="仿宋_GB2312" w:cs="仿宋_GB2312" w:hint="eastAsia"/>
          <w:color w:val="auto"/>
          <w:sz w:val="32"/>
          <w:szCs w:val="32"/>
          <w:u w:val="none"/>
          <w:lang w:val="en-US" w:eastAsia="zh-CN"/>
        </w:rPr>
      </w:pPr>
      <w:r>
        <w:rPr>
          <w:rFonts w:ascii="仿宋_GB2312" w:eastAsia="仿宋_GB2312" w:hAnsi="仿宋_GB2312" w:cs="仿宋_GB2312" w:hint="eastAsia"/>
          <w:b/>
          <w:bCs/>
          <w:color w:val="auto"/>
          <w:sz w:val="32"/>
          <w:szCs w:val="32"/>
          <w:lang w:val="en-US" w:eastAsia="zh-CN"/>
        </w:rPr>
        <w:t>第三条</w:t>
      </w:r>
      <w:r>
        <w:rPr>
          <w:rFonts w:ascii="仿宋_GB2312" w:eastAsia="仿宋_GB2312" w:hAnsi="仿宋_GB2312" w:cs="仿宋_GB2312" w:hint="eastAsia"/>
          <w:color w:val="auto"/>
          <w:sz w:val="32"/>
          <w:szCs w:val="32"/>
          <w:lang w:val="en-US" w:eastAsia="zh-CN"/>
        </w:rPr>
        <w:t xml:space="preserve"> </w:t>
      </w:r>
      <w:r>
        <w:rPr>
          <w:rFonts w:ascii="仿宋_GB2312" w:eastAsia="仿宋_GB2312" w:hAnsi="仿宋_GB2312" w:cs="仿宋_GB2312" w:hint="eastAsia"/>
          <w:color w:val="auto"/>
          <w:sz w:val="32"/>
          <w:szCs w:val="32"/>
          <w:u w:val="none"/>
          <w:lang w:val="en-US" w:eastAsia="zh-CN"/>
        </w:rPr>
        <w:t>本工作指引所称标准地址是指由市公安部门采集确定并已纳入柳州市标准地址信息库的地址信息，是对公民、法人及其他组织居住、工作和生产经营场所的地理空间位置的规范表述。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u w:val="none"/>
          <w:lang w:val="en-US" w:eastAsia="zh-CN"/>
        </w:rPr>
      </w:pPr>
      <w:r>
        <w:rPr>
          <w:rFonts w:ascii="仿宋_GB2312" w:eastAsia="仿宋_GB2312" w:hAnsi="仿宋_GB2312" w:cs="仿宋_GB2312" w:hint="eastAsia"/>
          <w:b/>
          <w:bCs/>
          <w:color w:val="auto"/>
          <w:sz w:val="32"/>
          <w:szCs w:val="32"/>
          <w:highlight w:val="none"/>
          <w:lang w:val="en-US" w:eastAsia="zh-CN"/>
        </w:rPr>
        <w:t>第四条</w:t>
      </w:r>
      <w:r>
        <w:rPr>
          <w:rFonts w:ascii="仿宋_GB2312" w:eastAsia="仿宋_GB2312" w:hAnsi="仿宋_GB2312" w:cs="仿宋_GB2312" w:hint="eastAsia"/>
          <w:color w:val="auto"/>
          <w:sz w:val="32"/>
          <w:szCs w:val="32"/>
          <w:highlight w:val="none"/>
          <w:lang w:val="en-US" w:eastAsia="zh-CN"/>
        </w:rPr>
        <w:t xml:space="preserve"> 柳州市</w:t>
      </w:r>
      <w:r>
        <w:rPr>
          <w:rFonts w:ascii="仿宋_GB2312" w:eastAsia="仿宋_GB2312" w:hAnsi="仿宋_GB2312" w:cs="仿宋_GB2312" w:hint="eastAsia"/>
          <w:color w:val="auto"/>
          <w:sz w:val="32"/>
          <w:szCs w:val="32"/>
          <w:u w:val="none"/>
          <w:lang w:val="en-US" w:eastAsia="zh-CN"/>
        </w:rPr>
        <w:t>标准地址规范表述为：省、市、县（区）、地名（城镇是街路巷，农村是村屯）、门牌号、小区名称、楼号、单元号、房号（无门牌号的注明参照物名称）。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420" w:rightChars="0" w:firstLineChars="200"/>
        <w:jc w:val="left"/>
        <w:textAlignment w:val="auto"/>
        <w:rPr>
          <w:rFonts w:ascii="仿宋_GB2312" w:eastAsia="仿宋_GB2312" w:hAnsi="仿宋_GB2312" w:cs="仿宋_GB2312" w:hint="eastAsia"/>
          <w:color w:val="auto"/>
          <w:spacing w:val="0"/>
          <w:sz w:val="32"/>
          <w:szCs w:val="32"/>
          <w:u w:val="none"/>
          <w:lang w:val="en-US" w:eastAsia="zh-CN"/>
        </w:rPr>
      </w:pPr>
      <w:r>
        <w:rPr>
          <w:rFonts w:ascii="仿宋_GB2312" w:eastAsia="仿宋_GB2312" w:hAnsi="仿宋_GB2312" w:cs="仿宋_GB2312" w:hint="eastAsia"/>
          <w:b/>
          <w:bCs/>
          <w:color w:val="auto"/>
          <w:spacing w:val="0"/>
          <w:sz w:val="32"/>
          <w:szCs w:val="32"/>
          <w:lang w:val="en-US" w:eastAsia="zh-CN"/>
        </w:rPr>
        <w:t>第五条</w:t>
      </w:r>
      <w:r>
        <w:rPr>
          <w:rFonts w:ascii="仿宋_GB2312" w:eastAsia="仿宋_GB2312" w:hAnsi="仿宋_GB2312" w:cs="仿宋_GB2312" w:hint="eastAsia"/>
          <w:color w:val="auto"/>
          <w:spacing w:val="0"/>
          <w:sz w:val="32"/>
          <w:szCs w:val="32"/>
          <w:lang w:val="en-US" w:eastAsia="zh-CN"/>
        </w:rPr>
        <w:t xml:space="preserve"> 市场主体住所和经营场所标准化登记是指采</w:t>
      </w:r>
      <w:r>
        <w:rPr>
          <w:rFonts w:ascii="仿宋_GB2312" w:eastAsia="仿宋_GB2312" w:hAnsi="仿宋_GB2312" w:cs="仿宋_GB2312" w:hint="eastAsia"/>
          <w:color w:val="auto"/>
          <w:spacing w:val="0"/>
          <w:sz w:val="32"/>
          <w:szCs w:val="32"/>
          <w:u w:val="none"/>
          <w:lang w:val="en-US" w:eastAsia="zh-CN"/>
        </w:rPr>
        <w:t>用“标准化地址申报+住所承诺制”模式进行申报注册。登记的</w:t>
      </w:r>
      <w:r>
        <w:rPr>
          <w:rFonts w:ascii="仿宋_GB2312" w:eastAsia="仿宋_GB2312" w:hAnsi="仿宋_GB2312" w:cs="仿宋_GB2312" w:hint="eastAsia"/>
          <w:color w:val="auto"/>
          <w:sz w:val="32"/>
          <w:szCs w:val="32"/>
          <w:lang w:val="en-US" w:eastAsia="zh-CN"/>
        </w:rPr>
        <w:t>住所和经营场所为法律文书送达地址和确定司法、行政管辖的依据。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420" w:rightChars="0" w:firstLineChars="200"/>
        <w:jc w:val="left"/>
        <w:textAlignment w:val="auto"/>
        <w:rPr>
          <w:rFonts w:ascii="仿宋_GB2312" w:eastAsia="仿宋_GB2312" w:hAnsi="仿宋_GB2312" w:cs="仿宋_GB2312" w:hint="eastAsia"/>
          <w:color w:val="auto"/>
          <w:spacing w:val="0"/>
          <w:sz w:val="32"/>
          <w:szCs w:val="32"/>
          <w:lang w:val="en-US" w:eastAsia="zh-CN"/>
        </w:rPr>
      </w:pPr>
      <w:r>
        <w:rPr>
          <w:rFonts w:ascii="仿宋_GB2312" w:eastAsia="仿宋_GB2312" w:hAnsi="仿宋_GB2312" w:cs="仿宋_GB2312" w:hint="eastAsia"/>
          <w:b/>
          <w:bCs/>
          <w:color w:val="auto"/>
          <w:spacing w:val="0"/>
          <w:sz w:val="32"/>
          <w:szCs w:val="32"/>
          <w:lang w:val="en-US" w:eastAsia="zh-CN"/>
        </w:rPr>
        <w:t>第六条</w:t>
      </w:r>
      <w:r>
        <w:rPr>
          <w:rFonts w:ascii="仿宋_GB2312" w:eastAsia="仿宋_GB2312" w:hAnsi="仿宋_GB2312" w:cs="仿宋_GB2312" w:hint="eastAsia"/>
          <w:color w:val="auto"/>
          <w:spacing w:val="0"/>
          <w:sz w:val="32"/>
          <w:szCs w:val="32"/>
          <w:lang w:val="en-US" w:eastAsia="zh-CN"/>
        </w:rPr>
        <w:t xml:space="preserve"> 申请人申报登记注册时，应</w:t>
      </w:r>
      <w:r>
        <w:rPr>
          <w:rFonts w:ascii="仿宋_GB2312" w:eastAsia="仿宋_GB2312" w:hAnsi="仿宋_GB2312" w:cs="仿宋_GB2312" w:hint="eastAsia"/>
          <w:color w:val="auto"/>
          <w:spacing w:val="0"/>
          <w:sz w:val="32"/>
          <w:szCs w:val="32"/>
        </w:rPr>
        <w:t>用</w:t>
      </w:r>
      <w:r>
        <w:rPr>
          <w:rFonts w:ascii="仿宋_GB2312" w:eastAsia="仿宋_GB2312" w:hAnsi="仿宋_GB2312" w:cs="仿宋_GB2312" w:hint="eastAsia"/>
          <w:color w:val="auto"/>
          <w:spacing w:val="0"/>
          <w:sz w:val="32"/>
          <w:szCs w:val="32"/>
          <w:lang w:eastAsia="zh-CN"/>
        </w:rPr>
        <w:t>柳州市</w:t>
      </w:r>
      <w:r>
        <w:rPr>
          <w:rFonts w:ascii="仿宋_GB2312" w:eastAsia="仿宋_GB2312" w:hAnsi="仿宋_GB2312" w:cs="仿宋_GB2312" w:hint="eastAsia"/>
          <w:color w:val="auto"/>
          <w:spacing w:val="0"/>
          <w:sz w:val="32"/>
          <w:szCs w:val="32"/>
        </w:rPr>
        <w:t>标准地址</w:t>
      </w:r>
      <w:r>
        <w:rPr>
          <w:rFonts w:ascii="仿宋_GB2312" w:eastAsia="仿宋_GB2312" w:hAnsi="仿宋_GB2312" w:cs="仿宋_GB2312" w:hint="eastAsia"/>
          <w:color w:val="auto"/>
          <w:spacing w:val="0"/>
          <w:sz w:val="32"/>
          <w:szCs w:val="32"/>
          <w:lang w:eastAsia="zh-CN"/>
        </w:rPr>
        <w:t>信息</w:t>
      </w:r>
      <w:r>
        <w:rPr>
          <w:rFonts w:ascii="仿宋_GB2312" w:eastAsia="仿宋_GB2312" w:hAnsi="仿宋_GB2312" w:cs="仿宋_GB2312" w:hint="eastAsia"/>
          <w:color w:val="auto"/>
          <w:spacing w:val="0"/>
          <w:sz w:val="32"/>
          <w:szCs w:val="32"/>
        </w:rPr>
        <w:t>库中的标准地址</w:t>
      </w:r>
      <w:r>
        <w:rPr>
          <w:rFonts w:ascii="仿宋_GB2312" w:eastAsia="仿宋_GB2312" w:hAnsi="仿宋_GB2312" w:cs="仿宋_GB2312" w:hint="eastAsia"/>
          <w:color w:val="auto"/>
          <w:spacing w:val="0"/>
          <w:sz w:val="32"/>
          <w:szCs w:val="32"/>
          <w:lang w:eastAsia="zh-CN"/>
        </w:rPr>
        <w:t>申报</w:t>
      </w:r>
      <w:r>
        <w:rPr>
          <w:rFonts w:ascii="仿宋_GB2312" w:eastAsia="仿宋_GB2312" w:hAnsi="仿宋_GB2312" w:cs="仿宋_GB2312" w:hint="eastAsia"/>
          <w:color w:val="auto"/>
          <w:spacing w:val="0"/>
          <w:sz w:val="32"/>
          <w:szCs w:val="32"/>
        </w:rPr>
        <w:t>为企业</w:t>
      </w:r>
      <w:r>
        <w:rPr>
          <w:rFonts w:ascii="仿宋_GB2312" w:eastAsia="仿宋_GB2312" w:hAnsi="仿宋_GB2312" w:cs="仿宋_GB2312" w:hint="eastAsia"/>
          <w:color w:val="auto"/>
          <w:spacing w:val="0"/>
          <w:sz w:val="32"/>
          <w:szCs w:val="32"/>
          <w:lang w:eastAsia="zh-CN"/>
        </w:rPr>
        <w:t>的住所和经营场所</w:t>
      </w:r>
      <w:r>
        <w:rPr>
          <w:rFonts w:ascii="仿宋_GB2312" w:eastAsia="仿宋_GB2312" w:hAnsi="仿宋_GB2312" w:cs="仿宋_GB2312" w:hint="eastAsia"/>
          <w:color w:val="auto"/>
          <w:spacing w:val="0"/>
          <w:sz w:val="32"/>
          <w:szCs w:val="32"/>
          <w:u w:val="none"/>
          <w:lang w:val="en-US" w:eastAsia="zh-CN"/>
        </w:rPr>
        <w:t>，</w:t>
      </w:r>
      <w:r>
        <w:rPr>
          <w:rFonts w:ascii="仿宋_GB2312" w:eastAsia="仿宋_GB2312" w:hAnsi="仿宋_GB2312" w:cs="仿宋_GB2312" w:hint="eastAsia"/>
          <w:b w:val="0"/>
          <w:i w:val="0"/>
          <w:caps w:val="0"/>
          <w:color w:val="auto"/>
          <w:spacing w:val="0"/>
          <w:sz w:val="32"/>
          <w:szCs w:val="32"/>
          <w:shd w:val="clear" w:color="auto" w:fill="FFFFFF"/>
        </w:rPr>
        <w:t>申请人只需提交《</w:t>
      </w:r>
      <w:r>
        <w:rPr>
          <w:rFonts w:ascii="仿宋_GB2312" w:eastAsia="仿宋_GB2312" w:hAnsi="仿宋_GB2312" w:cs="仿宋_GB2312" w:hint="eastAsia"/>
          <w:b w:val="0"/>
          <w:i w:val="0"/>
          <w:caps w:val="0"/>
          <w:color w:val="auto"/>
          <w:spacing w:val="0"/>
          <w:sz w:val="32"/>
          <w:szCs w:val="32"/>
          <w:shd w:val="clear" w:color="auto" w:fill="FFFFFF"/>
          <w:lang w:eastAsia="zh-CN"/>
        </w:rPr>
        <w:t>市场主体住所（经营场所）自主</w:t>
      </w:r>
      <w:r>
        <w:rPr>
          <w:rFonts w:ascii="仿宋_GB2312" w:eastAsia="仿宋_GB2312" w:hAnsi="仿宋_GB2312" w:cs="仿宋_GB2312" w:hint="eastAsia"/>
          <w:b w:val="0"/>
          <w:i w:val="0"/>
          <w:caps w:val="0"/>
          <w:color w:val="auto"/>
          <w:spacing w:val="0"/>
          <w:sz w:val="32"/>
          <w:szCs w:val="32"/>
          <w:shd w:val="clear" w:color="auto" w:fill="FFFFFF"/>
        </w:rPr>
        <w:t>申报承诺表》，即可作为住所</w:t>
      </w:r>
      <w:r>
        <w:rPr>
          <w:rFonts w:ascii="仿宋_GB2312" w:eastAsia="仿宋_GB2312" w:hAnsi="仿宋_GB2312" w:cs="仿宋_GB2312" w:hint="eastAsia"/>
          <w:b w:val="0"/>
          <w:i w:val="0"/>
          <w:caps w:val="0"/>
          <w:color w:val="auto"/>
          <w:spacing w:val="0"/>
          <w:sz w:val="32"/>
          <w:szCs w:val="32"/>
          <w:shd w:val="clear" w:color="auto" w:fill="FFFFFF"/>
          <w:lang w:eastAsia="zh-CN"/>
        </w:rPr>
        <w:t>和</w:t>
      </w:r>
      <w:r>
        <w:rPr>
          <w:rFonts w:ascii="仿宋_GB2312" w:eastAsia="仿宋_GB2312" w:hAnsi="仿宋_GB2312" w:cs="仿宋_GB2312" w:hint="eastAsia"/>
          <w:b w:val="0"/>
          <w:i w:val="0"/>
          <w:caps w:val="0"/>
          <w:color w:val="auto"/>
          <w:spacing w:val="0"/>
          <w:sz w:val="32"/>
          <w:szCs w:val="32"/>
          <w:shd w:val="clear" w:color="auto" w:fill="FFFFFF"/>
        </w:rPr>
        <w:t>经营场所使用权证明文件</w:t>
      </w:r>
      <w:r>
        <w:rPr>
          <w:rFonts w:ascii="仿宋_GB2312" w:eastAsia="仿宋_GB2312" w:hAnsi="仿宋_GB2312" w:cs="仿宋_GB2312" w:hint="eastAsia"/>
          <w:b w:val="0"/>
          <w:i w:val="0"/>
          <w:caps w:val="0"/>
          <w:color w:val="auto"/>
          <w:spacing w:val="0"/>
          <w:sz w:val="32"/>
          <w:szCs w:val="32"/>
          <w:shd w:val="clear" w:color="auto" w:fill="FFFFFF"/>
          <w:lang w:eastAsia="zh-CN"/>
        </w:rPr>
        <w:t>，</w:t>
      </w:r>
      <w:r>
        <w:rPr>
          <w:rFonts w:ascii="仿宋_GB2312" w:eastAsia="仿宋_GB2312" w:hAnsi="仿宋_GB2312" w:cs="仿宋_GB2312" w:hint="eastAsia"/>
          <w:color w:val="auto"/>
          <w:spacing w:val="0"/>
          <w:sz w:val="32"/>
          <w:szCs w:val="32"/>
          <w:u w:val="none"/>
          <w:lang w:val="en-US" w:eastAsia="zh-CN"/>
        </w:rPr>
        <w:t>以书面承诺的方式</w:t>
      </w:r>
      <w:r>
        <w:rPr>
          <w:rFonts w:ascii="仿宋_GB2312" w:eastAsia="仿宋_GB2312" w:hAnsi="仿宋_GB2312" w:cs="仿宋_GB2312" w:hint="eastAsia"/>
          <w:color w:val="auto"/>
          <w:spacing w:val="0"/>
          <w:sz w:val="32"/>
          <w:szCs w:val="32"/>
          <w:lang w:val="en-US" w:eastAsia="zh-CN"/>
        </w:rPr>
        <w:t>免于提交住所证明材料</w:t>
      </w:r>
      <w:r>
        <w:rPr>
          <w:rFonts w:ascii="仿宋_GB2312" w:eastAsia="仿宋_GB2312" w:hAnsi="仿宋_GB2312" w:cs="仿宋_GB2312" w:hint="eastAsia"/>
          <w:color w:val="auto"/>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left"/>
        <w:textAlignment w:val="auto"/>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color w:val="auto"/>
          <w:sz w:val="32"/>
          <w:szCs w:val="32"/>
          <w:lang w:val="en-US" w:eastAsia="zh-CN"/>
        </w:rPr>
        <w:t>如</w:t>
      </w:r>
      <w:r>
        <w:rPr>
          <w:rFonts w:ascii="仿宋_GB2312" w:eastAsia="仿宋_GB2312" w:hAnsi="仿宋_GB2312" w:cs="仿宋_GB2312" w:hint="eastAsia"/>
          <w:color w:val="auto"/>
          <w:spacing w:val="0"/>
          <w:sz w:val="32"/>
          <w:szCs w:val="32"/>
          <w:lang w:val="en-US" w:eastAsia="zh-CN"/>
        </w:rPr>
        <w:t>申请人不愿承诺或者申报的住所（经营场所）未纳入柳州市</w:t>
      </w:r>
      <w:r>
        <w:rPr>
          <w:rFonts w:ascii="仿宋_GB2312" w:eastAsia="仿宋_GB2312" w:hAnsi="仿宋_GB2312" w:cs="仿宋_GB2312" w:hint="eastAsia"/>
          <w:color w:val="auto"/>
          <w:spacing w:val="0"/>
          <w:sz w:val="32"/>
          <w:szCs w:val="32"/>
          <w:u w:val="none"/>
          <w:lang w:val="en-US" w:eastAsia="zh-CN"/>
        </w:rPr>
        <w:t>标准地址信息库内</w:t>
      </w:r>
      <w:r>
        <w:rPr>
          <w:rFonts w:ascii="仿宋_GB2312" w:eastAsia="仿宋_GB2312" w:hAnsi="仿宋_GB2312" w:cs="仿宋_GB2312" w:hint="eastAsia"/>
          <w:color w:val="auto"/>
          <w:spacing w:val="0"/>
          <w:sz w:val="32"/>
          <w:szCs w:val="32"/>
          <w:lang w:val="en-US" w:eastAsia="zh-CN"/>
        </w:rPr>
        <w:t>，</w:t>
      </w:r>
      <w:r>
        <w:rPr>
          <w:rFonts w:ascii="仿宋_GB2312" w:eastAsia="仿宋_GB2312" w:hAnsi="仿宋_GB2312" w:cs="仿宋_GB2312" w:hint="eastAsia"/>
          <w:color w:val="auto"/>
          <w:sz w:val="32"/>
          <w:szCs w:val="32"/>
          <w:lang w:val="en-US" w:eastAsia="zh-CN"/>
        </w:rPr>
        <w:t>申请人则按照《广西住所和经营场所登记管理办法》</w:t>
      </w:r>
      <w:r>
        <w:rPr>
          <w:rFonts w:ascii="仿宋_GB2312" w:eastAsia="仿宋_GB2312" w:hAnsi="仿宋_GB2312" w:cs="仿宋_GB2312" w:hint="eastAsia"/>
          <w:sz w:val="32"/>
          <w:szCs w:val="32"/>
          <w:lang w:val="en-US" w:eastAsia="zh-CN"/>
        </w:rPr>
        <w:t>及相关政策法规提交材料规范的要求</w:t>
      </w:r>
      <w:r>
        <w:rPr>
          <w:rFonts w:ascii="仿宋_GB2312" w:eastAsia="仿宋_GB2312" w:hAnsi="仿宋_GB2312" w:cs="仿宋_GB2312" w:hint="eastAsia"/>
          <w:color w:val="auto"/>
          <w:sz w:val="32"/>
          <w:szCs w:val="32"/>
          <w:lang w:val="en-US" w:eastAsia="zh-CN"/>
        </w:rPr>
        <w:t>，提交租赁合同、产权证明等住所合法使用的相关证明材料。</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b/>
          <w:bCs/>
          <w:color w:val="auto"/>
          <w:sz w:val="32"/>
          <w:szCs w:val="32"/>
          <w:highlight w:val="none"/>
          <w:lang w:val="en-US" w:eastAsia="zh-CN"/>
        </w:rPr>
        <w:t>第七条</w:t>
      </w:r>
      <w:r>
        <w:rPr>
          <w:rFonts w:ascii="仿宋_GB2312" w:eastAsia="仿宋_GB2312" w:hAnsi="仿宋_GB2312" w:cs="仿宋_GB2312" w:hint="eastAsia"/>
          <w:color w:val="auto"/>
          <w:sz w:val="32"/>
          <w:szCs w:val="32"/>
          <w:highlight w:val="none"/>
          <w:lang w:val="en-US" w:eastAsia="zh-CN"/>
        </w:rPr>
        <w:t xml:space="preserve"> 申请人实行</w:t>
      </w:r>
      <w:r>
        <w:rPr>
          <w:rFonts w:ascii="仿宋_GB2312" w:eastAsia="仿宋_GB2312" w:hAnsi="仿宋_GB2312" w:cs="仿宋_GB2312" w:hint="eastAsia"/>
          <w:color w:val="auto"/>
          <w:spacing w:val="0"/>
          <w:sz w:val="32"/>
          <w:szCs w:val="32"/>
          <w:u w:val="none"/>
          <w:lang w:val="en-US" w:eastAsia="zh-CN"/>
        </w:rPr>
        <w:t>“标准化地址申报+住所承诺制”模式进行登记注册的</w:t>
      </w:r>
      <w:r>
        <w:rPr>
          <w:rFonts w:ascii="仿宋_GB2312" w:eastAsia="仿宋_GB2312" w:hAnsi="仿宋_GB2312" w:cs="仿宋_GB2312" w:hint="eastAsia"/>
          <w:color w:val="auto"/>
          <w:sz w:val="32"/>
          <w:szCs w:val="32"/>
          <w:highlight w:val="none"/>
          <w:lang w:val="en-US" w:eastAsia="zh-CN"/>
        </w:rPr>
        <w:t>，由申请人对申报登记住所或经营场所的真实性、合法性和有效性负责。申请人应当</w:t>
      </w:r>
      <w:r>
        <w:rPr>
          <w:rFonts w:ascii="仿宋_GB2312" w:eastAsia="仿宋_GB2312" w:hAnsi="仿宋_GB2312" w:cs="仿宋_GB2312" w:hint="eastAsia"/>
          <w:color w:val="auto"/>
          <w:sz w:val="32"/>
          <w:szCs w:val="32"/>
          <w:lang w:val="en-US" w:eastAsia="zh-CN"/>
        </w:rPr>
        <w:t>对其申报登记</w:t>
      </w:r>
      <w:r>
        <w:rPr>
          <w:rFonts w:ascii="仿宋_GB2312" w:eastAsia="仿宋_GB2312" w:hAnsi="仿宋_GB2312" w:cs="仿宋_GB2312" w:hint="eastAsia"/>
          <w:color w:val="auto"/>
          <w:sz w:val="32"/>
          <w:szCs w:val="32"/>
          <w:highlight w:val="none"/>
          <w:lang w:val="en-US" w:eastAsia="zh-CN"/>
        </w:rPr>
        <w:t>住所或经营场所</w:t>
      </w:r>
      <w:r>
        <w:rPr>
          <w:rFonts w:ascii="仿宋_GB2312" w:eastAsia="仿宋_GB2312" w:hAnsi="仿宋_GB2312" w:cs="仿宋_GB2312" w:hint="eastAsia"/>
          <w:color w:val="auto"/>
          <w:sz w:val="32"/>
          <w:szCs w:val="32"/>
          <w:lang w:val="en-US" w:eastAsia="zh-CN"/>
        </w:rPr>
        <w:t>的权属关系、法定用途、安全使用、租赁协议等内容作出符合事实和规定的承诺，</w:t>
      </w:r>
      <w:r>
        <w:rPr>
          <w:rFonts w:ascii="仿宋_GB2312" w:eastAsia="仿宋_GB2312" w:hAnsi="仿宋_GB2312" w:cs="仿宋_GB2312" w:hint="eastAsia"/>
          <w:color w:val="auto"/>
          <w:sz w:val="32"/>
          <w:szCs w:val="32"/>
          <w:highlight w:val="none"/>
          <w:lang w:val="en-US" w:eastAsia="zh-CN"/>
        </w:rPr>
        <w:t>填写自主申报承诺书后不再提交住所或经营场所的合法使用证明材料，并对承诺行为承担法律责任。</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color w:val="auto"/>
          <w:sz w:val="32"/>
          <w:szCs w:val="32"/>
          <w:highlight w:val="none"/>
          <w:u w:val="none"/>
          <w:lang w:val="en-US" w:eastAsia="zh-CN"/>
        </w:rPr>
        <w:t>申请人应当完整保留申报</w:t>
      </w:r>
      <w:r>
        <w:rPr>
          <w:rFonts w:ascii="仿宋_GB2312" w:eastAsia="仿宋_GB2312" w:hAnsi="仿宋_GB2312" w:cs="仿宋_GB2312" w:hint="eastAsia"/>
          <w:color w:val="auto"/>
          <w:sz w:val="32"/>
          <w:szCs w:val="32"/>
          <w:highlight w:val="none"/>
          <w:lang w:val="en-US" w:eastAsia="zh-CN"/>
        </w:rPr>
        <w:t>住所或经营场所</w:t>
      </w:r>
      <w:r>
        <w:rPr>
          <w:rFonts w:ascii="仿宋_GB2312" w:eastAsia="仿宋_GB2312" w:hAnsi="仿宋_GB2312" w:cs="仿宋_GB2312" w:hint="eastAsia"/>
          <w:color w:val="auto"/>
          <w:sz w:val="32"/>
          <w:szCs w:val="32"/>
          <w:highlight w:val="none"/>
          <w:u w:val="none"/>
          <w:lang w:val="en-US" w:eastAsia="zh-CN"/>
        </w:rPr>
        <w:t>时作出承诺所对应的相关证明材料，以备行政机关检查。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420" w:rightChars="0" w:firstLineChars="200"/>
        <w:jc w:val="left"/>
        <w:textAlignment w:val="auto"/>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b/>
          <w:bCs/>
          <w:color w:val="auto"/>
          <w:sz w:val="32"/>
          <w:szCs w:val="32"/>
          <w:u w:val="none"/>
          <w:lang w:val="en-US" w:eastAsia="zh-CN"/>
        </w:rPr>
        <w:t>第八条</w:t>
      </w:r>
      <w:r>
        <w:rPr>
          <w:rFonts w:ascii="仿宋_GB2312" w:eastAsia="仿宋_GB2312" w:hAnsi="仿宋_GB2312" w:cs="仿宋_GB2312" w:hint="eastAsia"/>
          <w:color w:val="auto"/>
          <w:sz w:val="32"/>
          <w:szCs w:val="32"/>
          <w:u w:val="none"/>
          <w:lang w:val="en-US" w:eastAsia="zh-CN"/>
        </w:rPr>
        <w:t xml:space="preserve"> 申请人申报住所和</w:t>
      </w:r>
      <w:r>
        <w:rPr>
          <w:rFonts w:ascii="仿宋_GB2312" w:eastAsia="仿宋_GB2312" w:hAnsi="仿宋_GB2312" w:cs="仿宋_GB2312" w:hint="eastAsia"/>
          <w:color w:val="auto"/>
          <w:sz w:val="32"/>
          <w:szCs w:val="32"/>
          <w:lang w:val="en-US" w:eastAsia="zh-CN"/>
        </w:rPr>
        <w:t>经营场所时应当遵守土地管理、城乡规划、房屋安全使用管理、房屋租赁管理等有关规定及小区管理规约。按照规定改变用地性质、建筑物用途或结构需经有关部门批准的，应当报经批准。未取得相关许可或批准的不予登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left"/>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color w:val="auto"/>
          <w:sz w:val="32"/>
          <w:szCs w:val="32"/>
          <w:highlight w:val="none"/>
          <w:lang w:val="en-US" w:eastAsia="zh-CN"/>
        </w:rPr>
        <w:t>业主将住宅改变为经营性用房的,除遵守法律、法规以及管理规约外，还应当征得有利害关系的业主一致同意。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left"/>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b/>
          <w:bCs/>
          <w:color w:val="auto"/>
          <w:sz w:val="32"/>
          <w:szCs w:val="32"/>
          <w:highlight w:val="none"/>
          <w:lang w:val="en-US" w:eastAsia="zh-CN"/>
        </w:rPr>
        <w:t>第九条</w:t>
      </w:r>
      <w:r>
        <w:rPr>
          <w:rFonts w:ascii="仿宋_GB2312" w:eastAsia="仿宋_GB2312" w:hAnsi="仿宋_GB2312" w:cs="仿宋_GB2312" w:hint="eastAsia"/>
          <w:color w:val="auto"/>
          <w:sz w:val="32"/>
          <w:szCs w:val="32"/>
          <w:highlight w:val="none"/>
          <w:lang w:val="en-US" w:eastAsia="zh-CN"/>
        </w:rPr>
        <w:t xml:space="preserve"> 申请人不得将下列场所申报</w:t>
      </w:r>
      <w:r>
        <w:rPr>
          <w:rFonts w:ascii="仿宋_GB2312" w:eastAsia="仿宋_GB2312" w:hAnsi="仿宋_GB2312" w:cs="仿宋_GB2312" w:hint="eastAsia"/>
          <w:color w:val="auto"/>
          <w:sz w:val="32"/>
          <w:szCs w:val="32"/>
          <w:lang w:val="en-US" w:eastAsia="zh-CN"/>
        </w:rPr>
        <w:t>为市场主体的住所和经营场所：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left"/>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color w:val="auto"/>
          <w:sz w:val="32"/>
          <w:szCs w:val="32"/>
          <w:lang w:val="en-US" w:eastAsia="zh-CN"/>
        </w:rPr>
        <w:t>（一）非法建筑房屋；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left"/>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color w:val="auto"/>
          <w:sz w:val="32"/>
          <w:szCs w:val="32"/>
          <w:lang w:val="en-US" w:eastAsia="zh-CN"/>
        </w:rPr>
        <w:t>（二）危险建筑房屋；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left"/>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color w:val="auto"/>
          <w:sz w:val="32"/>
          <w:szCs w:val="32"/>
          <w:highlight w:val="none"/>
          <w:lang w:val="en-US" w:eastAsia="zh-CN"/>
        </w:rPr>
        <w:t>（三）</w:t>
      </w:r>
      <w:r>
        <w:rPr>
          <w:rFonts w:ascii="仿宋_GB2312" w:eastAsia="仿宋_GB2312" w:hAnsi="仿宋_GB2312" w:cs="仿宋_GB2312" w:hint="eastAsia"/>
          <w:color w:val="auto"/>
          <w:sz w:val="32"/>
          <w:szCs w:val="32"/>
          <w:lang w:val="en-US" w:eastAsia="zh-CN"/>
        </w:rPr>
        <w:t>被依法征收即将实施拆除的房屋；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left"/>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color w:val="auto"/>
          <w:sz w:val="32"/>
          <w:szCs w:val="32"/>
          <w:lang w:val="en-US" w:eastAsia="zh-CN"/>
        </w:rPr>
        <w:t>（四）法律法规规定及政府相关规定的特定行业不得用于住所和经营场所的建筑。</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highlight w:val="none"/>
          <w:u w:val="none"/>
          <w:lang w:val="en-US" w:eastAsia="zh-CN"/>
        </w:rPr>
      </w:pPr>
      <w:r>
        <w:rPr>
          <w:rFonts w:ascii="仿宋_GB2312" w:eastAsia="仿宋_GB2312" w:hAnsi="仿宋_GB2312" w:cs="仿宋_GB2312" w:hint="eastAsia"/>
          <w:b/>
          <w:bCs/>
          <w:color w:val="auto"/>
          <w:sz w:val="32"/>
          <w:szCs w:val="32"/>
          <w:highlight w:val="none"/>
          <w:u w:val="none"/>
          <w:lang w:val="en-US" w:eastAsia="zh-CN"/>
        </w:rPr>
        <w:t>第十条</w:t>
      </w:r>
      <w:r>
        <w:rPr>
          <w:rFonts w:ascii="仿宋_GB2312" w:eastAsia="仿宋_GB2312" w:hAnsi="仿宋_GB2312" w:cs="仿宋_GB2312" w:hint="eastAsia"/>
          <w:color w:val="auto"/>
          <w:sz w:val="32"/>
          <w:szCs w:val="32"/>
          <w:highlight w:val="none"/>
          <w:u w:val="none"/>
          <w:lang w:val="en-US" w:eastAsia="zh-CN"/>
        </w:rPr>
        <w:t xml:space="preserve"> 申请人申报住所和经营场所登记时须填报《市场主体住所（经营场所）自主申报承诺书》，承诺内容如下：</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10" w:right="0" w:firstLine="640" w:leftChars="0" w:rightChars="0" w:firstLineChars="0"/>
        <w:jc w:val="both"/>
        <w:textAlignment w:val="auto"/>
        <w:outlineLvl w:val="9"/>
        <w:rPr>
          <w:rFonts w:ascii="仿宋_GB2312" w:eastAsia="仿宋_GB2312" w:hAnsi="仿宋_GB2312" w:cs="仿宋_GB2312" w:hint="eastAsia"/>
          <w:color w:val="auto"/>
          <w:sz w:val="32"/>
          <w:szCs w:val="32"/>
          <w:highlight w:val="none"/>
          <w:u w:val="none"/>
          <w:lang w:val="en-US" w:eastAsia="zh-CN"/>
        </w:rPr>
      </w:pPr>
      <w:r>
        <w:rPr>
          <w:rFonts w:ascii="仿宋_GB2312" w:eastAsia="仿宋_GB2312" w:hAnsi="仿宋_GB2312" w:cs="仿宋_GB2312" w:hint="eastAsia"/>
          <w:color w:val="auto"/>
          <w:sz w:val="32"/>
          <w:szCs w:val="32"/>
          <w:highlight w:val="none"/>
          <w:u w:val="none"/>
          <w:lang w:val="en-US" w:eastAsia="zh-CN"/>
        </w:rPr>
        <w:t>已依法取得房屋使用权，申报的住所（经营场所）信息与实际情况一致。</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10" w:right="0" w:firstLine="640" w:leftChars="0" w:rightChars="0" w:firstLineChars="0"/>
        <w:jc w:val="both"/>
        <w:textAlignment w:val="auto"/>
        <w:outlineLvl w:val="9"/>
        <w:rPr>
          <w:rFonts w:ascii="仿宋_GB2312" w:eastAsia="仿宋_GB2312" w:hAnsi="仿宋_GB2312" w:cs="仿宋_GB2312" w:hint="eastAsia"/>
          <w:color w:val="auto"/>
          <w:sz w:val="32"/>
          <w:szCs w:val="32"/>
          <w:highlight w:val="none"/>
          <w:u w:val="none"/>
          <w:lang w:val="en-US" w:eastAsia="zh-CN"/>
        </w:rPr>
      </w:pPr>
      <w:r>
        <w:rPr>
          <w:rFonts w:ascii="仿宋_GB2312" w:eastAsia="仿宋_GB2312" w:hAnsi="仿宋_GB2312" w:cs="仿宋_GB2312" w:hint="eastAsia"/>
          <w:color w:val="auto"/>
          <w:sz w:val="32"/>
          <w:szCs w:val="32"/>
          <w:highlight w:val="none"/>
          <w:u w:val="none"/>
          <w:lang w:val="en-US" w:eastAsia="zh-CN"/>
        </w:rPr>
        <w:t>在住所（经营场所）不从事危及国家安全、存在严重安全隐患、影响人民身体健康、对环境造成污染以及国家法律法规规定企业和个人不得开展的生产经营活动。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10" w:right="0" w:firstLine="640" w:leftChars="0" w:rightChars="0" w:firstLineChars="0"/>
        <w:jc w:val="both"/>
        <w:textAlignment w:val="auto"/>
        <w:outlineLvl w:val="9"/>
        <w:rPr>
          <w:rFonts w:ascii="仿宋_GB2312" w:eastAsia="仿宋_GB2312" w:hAnsi="仿宋_GB2312" w:cs="仿宋_GB2312" w:hint="eastAsia"/>
          <w:color w:val="auto"/>
          <w:sz w:val="32"/>
          <w:szCs w:val="32"/>
          <w:highlight w:val="none"/>
          <w:u w:val="none"/>
          <w:lang w:val="en-US" w:eastAsia="zh-CN"/>
        </w:rPr>
      </w:pPr>
      <w:r>
        <w:rPr>
          <w:rFonts w:ascii="仿宋_GB2312" w:eastAsia="仿宋_GB2312" w:hAnsi="仿宋_GB2312" w:cs="仿宋_GB2312" w:hint="eastAsia"/>
          <w:color w:val="auto"/>
          <w:sz w:val="32"/>
          <w:szCs w:val="32"/>
          <w:highlight w:val="none"/>
          <w:u w:val="none"/>
          <w:lang w:val="en-US" w:eastAsia="zh-CN"/>
        </w:rPr>
        <w:t>将住宅改变为住所及经营场所已取得利害关系业主同意，遵守公序良俗，不侵害利害关系业主的合法权益。对住所及经营场所有特定条件的，遵守有关法律法规的规定。</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10" w:right="0" w:firstLine="640" w:leftChars="0" w:rightChars="0" w:firstLineChars="0"/>
        <w:jc w:val="both"/>
        <w:textAlignment w:val="auto"/>
        <w:outlineLvl w:val="9"/>
        <w:rPr>
          <w:rFonts w:ascii="仿宋_GB2312" w:eastAsia="仿宋_GB2312" w:hAnsi="仿宋_GB2312" w:cs="仿宋_GB2312" w:hint="eastAsia"/>
          <w:color w:val="auto"/>
          <w:sz w:val="32"/>
          <w:szCs w:val="32"/>
          <w:highlight w:val="none"/>
          <w:u w:val="none"/>
          <w:lang w:val="en-US" w:eastAsia="zh-CN"/>
        </w:rPr>
      </w:pPr>
      <w:r>
        <w:rPr>
          <w:rFonts w:ascii="仿宋_GB2312" w:eastAsia="仿宋_GB2312" w:hAnsi="仿宋_GB2312" w:cs="仿宋_GB2312" w:hint="eastAsia"/>
          <w:color w:val="auto"/>
          <w:sz w:val="32"/>
          <w:szCs w:val="32"/>
          <w:highlight w:val="none"/>
          <w:u w:val="none"/>
          <w:lang w:val="en-US" w:eastAsia="zh-CN"/>
        </w:rPr>
        <w:t>法律、法规规定应当经有关部门批准方可在经营场所从事相关经营活动的，承诺取得许可证或批准文件后再开展相关经营活动。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10" w:right="0" w:firstLine="640" w:leftChars="0" w:rightChars="0" w:firstLineChars="0"/>
        <w:jc w:val="both"/>
        <w:textAlignment w:val="auto"/>
        <w:outlineLvl w:val="9"/>
        <w:rPr>
          <w:rFonts w:ascii="仿宋_GB2312" w:eastAsia="仿宋_GB2312" w:hAnsi="仿宋_GB2312" w:cs="仿宋_GB2312" w:hint="eastAsia"/>
          <w:color w:val="auto"/>
          <w:sz w:val="32"/>
          <w:szCs w:val="32"/>
          <w:highlight w:val="none"/>
          <w:u w:val="none"/>
          <w:lang w:val="en-US" w:eastAsia="zh-CN"/>
        </w:rPr>
      </w:pPr>
      <w:r>
        <w:rPr>
          <w:rFonts w:ascii="仿宋_GB2312" w:eastAsia="仿宋_GB2312" w:hAnsi="仿宋_GB2312" w:cs="仿宋_GB2312" w:hint="eastAsia"/>
          <w:color w:val="auto"/>
          <w:sz w:val="32"/>
          <w:szCs w:val="32"/>
          <w:highlight w:val="none"/>
          <w:u w:val="none"/>
          <w:lang w:val="en-US" w:eastAsia="zh-CN"/>
        </w:rPr>
        <w:t>自觉接受行政执法部门监督管理，并承担提交虚假材料或者采取其他欺诈手段隐瞒重要事实取得登记以及违反本承诺所引起的法律责任。</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b/>
          <w:bCs/>
          <w:color w:val="auto"/>
          <w:sz w:val="32"/>
          <w:szCs w:val="32"/>
          <w:highlight w:val="none"/>
          <w:lang w:val="en-US" w:eastAsia="zh-CN"/>
        </w:rPr>
        <w:t>第十一条</w:t>
      </w:r>
      <w:r>
        <w:rPr>
          <w:rFonts w:ascii="仿宋_GB2312" w:eastAsia="仿宋_GB2312" w:hAnsi="仿宋_GB2312" w:cs="仿宋_GB2312" w:hint="eastAsia"/>
          <w:color w:val="auto"/>
          <w:sz w:val="32"/>
          <w:szCs w:val="32"/>
          <w:highlight w:val="none"/>
          <w:lang w:val="en-US" w:eastAsia="zh-CN"/>
        </w:rPr>
        <w:t xml:space="preserve"> 申请人申报的住所和经营场所信息包括以下内容：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38" w:right="0" w:firstLine="0" w:leftChars="304" w:rightChars="0" w:firstLineChars="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color w:val="auto"/>
          <w:sz w:val="32"/>
          <w:szCs w:val="32"/>
          <w:highlight w:val="none"/>
          <w:lang w:val="en-US" w:eastAsia="zh-CN"/>
        </w:rPr>
        <w:t>（一）市场主体名称；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38" w:right="0" w:firstLine="0" w:leftChars="304" w:rightChars="0" w:firstLineChars="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color w:val="auto"/>
          <w:sz w:val="32"/>
          <w:szCs w:val="32"/>
          <w:highlight w:val="none"/>
          <w:lang w:val="en-US" w:eastAsia="zh-CN"/>
        </w:rPr>
        <w:t>（二）标准地址规范表述；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color w:val="auto"/>
          <w:sz w:val="32"/>
          <w:szCs w:val="32"/>
          <w:highlight w:val="none"/>
          <w:lang w:val="en-US" w:eastAsia="zh-CN"/>
        </w:rPr>
        <w:t>（三）法定用途；</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color w:val="auto"/>
          <w:sz w:val="32"/>
          <w:szCs w:val="32"/>
          <w:highlight w:val="none"/>
          <w:lang w:val="en-US" w:eastAsia="zh-CN"/>
        </w:rPr>
        <w:t>（四）房屋所有权人及其联系方式；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default"/>
          <w:color w:val="auto"/>
          <w:sz w:val="32"/>
          <w:szCs w:val="32"/>
          <w:highlight w:val="none"/>
          <w:lang w:val="en-US" w:eastAsia="zh-CN"/>
        </w:rPr>
      </w:pPr>
      <w:r>
        <w:rPr>
          <w:rFonts w:ascii="仿宋_GB2312" w:eastAsia="仿宋_GB2312" w:hAnsi="仿宋_GB2312" w:cs="仿宋_GB2312" w:hint="eastAsia"/>
          <w:color w:val="auto"/>
          <w:sz w:val="32"/>
          <w:szCs w:val="32"/>
          <w:highlight w:val="none"/>
          <w:lang w:val="en-US" w:eastAsia="zh-CN"/>
        </w:rPr>
        <w:t>（五）住所和经营场所取得方式；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color w:val="auto"/>
          <w:sz w:val="32"/>
          <w:szCs w:val="32"/>
          <w:highlight w:val="none"/>
          <w:lang w:val="en-US" w:eastAsia="zh-CN"/>
        </w:rPr>
        <w:t>（六）使用期限。</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u w:val="none"/>
          <w:lang w:val="en-US" w:eastAsia="zh-CN"/>
        </w:rPr>
      </w:pPr>
      <w:r>
        <w:rPr>
          <w:rFonts w:ascii="仿宋_GB2312" w:eastAsia="仿宋_GB2312" w:hAnsi="仿宋_GB2312" w:cs="仿宋_GB2312" w:hint="eastAsia"/>
          <w:b/>
          <w:bCs/>
          <w:color w:val="auto"/>
          <w:sz w:val="32"/>
          <w:szCs w:val="32"/>
          <w:u w:val="none"/>
          <w:lang w:val="en-US" w:eastAsia="zh-CN"/>
        </w:rPr>
        <w:t>第十二条</w:t>
      </w:r>
      <w:r>
        <w:rPr>
          <w:rFonts w:ascii="仿宋_GB2312" w:eastAsia="仿宋_GB2312" w:hAnsi="仿宋_GB2312" w:cs="仿宋_GB2312" w:hint="eastAsia"/>
          <w:color w:val="auto"/>
          <w:sz w:val="32"/>
          <w:szCs w:val="32"/>
          <w:u w:val="none"/>
          <w:lang w:val="en-US" w:eastAsia="zh-CN"/>
        </w:rPr>
        <w:t xml:space="preserve"> 申请人申请住所和经营场所变更的，按照</w:t>
      </w:r>
      <w:r>
        <w:rPr>
          <w:rFonts w:ascii="仿宋_GB2312" w:eastAsia="仿宋_GB2312" w:hAnsi="仿宋_GB2312" w:cs="仿宋_GB2312" w:hint="eastAsia"/>
          <w:color w:val="auto"/>
          <w:spacing w:val="0"/>
          <w:sz w:val="32"/>
          <w:szCs w:val="32"/>
          <w:u w:val="none"/>
          <w:lang w:val="en-US" w:eastAsia="zh-CN"/>
        </w:rPr>
        <w:t>“标准化地址申报+住所承诺制”模式办理</w:t>
      </w:r>
      <w:r>
        <w:rPr>
          <w:rFonts w:ascii="仿宋_GB2312" w:eastAsia="仿宋_GB2312" w:hAnsi="仿宋_GB2312" w:cs="仿宋_GB2312" w:hint="eastAsia"/>
          <w:color w:val="auto"/>
          <w:sz w:val="32"/>
          <w:szCs w:val="32"/>
          <w:u w:val="none"/>
          <w:lang w:val="en-US" w:eastAsia="zh-CN"/>
        </w:rPr>
        <w:t>。不涉及住所和经营场所的其他变更登记，不做住所和经营场所标准化地址变更的强制要求。</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b/>
          <w:bCs/>
          <w:color w:val="auto"/>
          <w:sz w:val="32"/>
          <w:szCs w:val="32"/>
          <w:lang w:val="en-US" w:eastAsia="zh-CN"/>
        </w:rPr>
        <w:t>第十三条</w:t>
      </w:r>
      <w:r>
        <w:rPr>
          <w:rFonts w:ascii="仿宋_GB2312" w:eastAsia="仿宋_GB2312" w:hAnsi="仿宋_GB2312" w:cs="仿宋_GB2312" w:hint="eastAsia"/>
          <w:color w:val="auto"/>
          <w:sz w:val="32"/>
          <w:szCs w:val="32"/>
          <w:lang w:val="en-US" w:eastAsia="zh-CN"/>
        </w:rPr>
        <w:t xml:space="preserve"> 登记机关</w:t>
      </w:r>
      <w:r>
        <w:rPr>
          <w:rFonts w:ascii="仿宋_GB2312" w:eastAsia="仿宋_GB2312" w:hAnsi="仿宋_GB2312" w:cs="仿宋_GB2312" w:hint="eastAsia"/>
          <w:color w:val="auto"/>
          <w:spacing w:val="0"/>
          <w:sz w:val="32"/>
          <w:szCs w:val="32"/>
          <w:lang w:val="en-US" w:eastAsia="zh-CN"/>
        </w:rPr>
        <w:t>按照柳州市标准地址库中的数据规则标准</w:t>
      </w:r>
      <w:r>
        <w:rPr>
          <w:rFonts w:ascii="仿宋_GB2312" w:eastAsia="仿宋_GB2312" w:hAnsi="仿宋_GB2312" w:cs="仿宋_GB2312" w:hint="eastAsia"/>
          <w:color w:val="auto"/>
          <w:spacing w:val="0"/>
          <w:sz w:val="32"/>
          <w:szCs w:val="32"/>
          <w:u w:val="none"/>
          <w:lang w:val="en-US" w:eastAsia="zh-CN"/>
        </w:rPr>
        <w:t>逐步</w:t>
      </w:r>
      <w:r>
        <w:rPr>
          <w:rFonts w:ascii="仿宋_GB2312" w:eastAsia="仿宋_GB2312" w:hAnsi="仿宋_GB2312" w:cs="仿宋_GB2312" w:hint="eastAsia"/>
          <w:color w:val="auto"/>
          <w:spacing w:val="0"/>
          <w:sz w:val="32"/>
          <w:szCs w:val="32"/>
          <w:lang w:val="en-US" w:eastAsia="zh-CN"/>
        </w:rPr>
        <w:t>对原市场主体住所和经营场所登记数据信息进行梳理和完善，</w:t>
      </w:r>
      <w:r>
        <w:rPr>
          <w:rFonts w:ascii="仿宋_GB2312" w:eastAsia="仿宋_GB2312" w:hAnsi="仿宋_GB2312" w:cs="仿宋_GB2312" w:hint="eastAsia"/>
          <w:color w:val="auto"/>
          <w:spacing w:val="0"/>
          <w:sz w:val="32"/>
          <w:szCs w:val="32"/>
          <w:u w:val="none"/>
          <w:lang w:val="en-US" w:eastAsia="zh-CN"/>
        </w:rPr>
        <w:t>实现部门间地址数据规格一致、互联互通。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b/>
          <w:bCs/>
          <w:color w:val="auto"/>
          <w:sz w:val="32"/>
          <w:szCs w:val="32"/>
          <w:lang w:val="en-US" w:eastAsia="zh-CN"/>
        </w:rPr>
        <w:t>第十四条</w:t>
      </w:r>
      <w:r>
        <w:rPr>
          <w:rFonts w:ascii="仿宋_GB2312" w:eastAsia="仿宋_GB2312" w:hAnsi="仿宋_GB2312" w:cs="仿宋_GB2312" w:hint="eastAsia"/>
          <w:color w:val="auto"/>
          <w:sz w:val="32"/>
          <w:szCs w:val="32"/>
          <w:lang w:val="en-US" w:eastAsia="zh-CN"/>
        </w:rPr>
        <w:t xml:space="preserve"> </w:t>
      </w:r>
      <w:r>
        <w:rPr>
          <w:rFonts w:ascii="仿宋_GB2312" w:eastAsia="仿宋_GB2312" w:hAnsi="仿宋_GB2312" w:cs="仿宋_GB2312" w:hint="eastAsia"/>
          <w:color w:val="auto"/>
          <w:spacing w:val="0"/>
          <w:sz w:val="32"/>
          <w:szCs w:val="32"/>
          <w:lang w:val="en-US" w:eastAsia="zh-CN"/>
        </w:rPr>
        <w:t>登记机关将企业基本数据信息反馈至柳州市标准地址信息库，</w:t>
      </w:r>
      <w:r>
        <w:rPr>
          <w:rFonts w:ascii="仿宋_GB2312" w:eastAsia="仿宋_GB2312" w:hAnsi="仿宋_GB2312" w:cs="仿宋_GB2312" w:hint="eastAsia"/>
          <w:color w:val="auto"/>
          <w:sz w:val="32"/>
          <w:szCs w:val="32"/>
          <w:lang w:val="en-US" w:eastAsia="zh-CN"/>
        </w:rPr>
        <w:t>通过数据交换，实现在标准地址二维码上共享及备案，社会和企业均可通过标准地址二维码查询该场所企业的相关登记信息。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b/>
          <w:bCs/>
          <w:color w:val="auto"/>
          <w:sz w:val="32"/>
          <w:szCs w:val="32"/>
          <w:lang w:val="en-US" w:eastAsia="zh-CN"/>
        </w:rPr>
        <w:t>第十五条</w:t>
      </w:r>
      <w:r>
        <w:rPr>
          <w:rFonts w:ascii="仿宋_GB2312" w:eastAsia="仿宋_GB2312" w:hAnsi="仿宋_GB2312" w:cs="仿宋_GB2312" w:hint="eastAsia"/>
          <w:color w:val="auto"/>
          <w:sz w:val="32"/>
          <w:szCs w:val="32"/>
          <w:lang w:val="en-US" w:eastAsia="zh-CN"/>
        </w:rPr>
        <w:t xml:space="preserve"> 登记机关向有关职能部门及时共享市场主体登记信息，各有关职能部门应当根据各自职责，落实监管责任，建立健全以信用监管为核心的联合惩戒工作机制，共同做好对市场主体住所和经营场所监管工作。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color w:val="auto"/>
          <w:sz w:val="32"/>
          <w:szCs w:val="32"/>
          <w:lang w:val="en-US" w:eastAsia="zh-CN"/>
        </w:rPr>
        <w:t>应当具备特定条件的住所和经营场所，或者利用非法建筑物、危险房屋、擅自改变房屋用途等从事经营活动的，由自然资源规划、住建、房屋管理、公安、生态环境、应急管理等部门依法管理。涉及许可审批事项的，由负责行业主管的职能部门依法监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leftChars="0" w:rightChars="0" w:firstLineChars="200"/>
        <w:jc w:val="both"/>
        <w:textAlignment w:val="auto"/>
        <w:outlineLvl w:val="9"/>
        <w:rPr>
          <w:rFonts w:ascii="仿宋_GB2312" w:eastAsia="仿宋_GB2312" w:hAnsi="仿宋_GB2312" w:cs="仿宋_GB2312" w:hint="eastAsia"/>
          <w:color w:val="auto"/>
          <w:sz w:val="32"/>
          <w:szCs w:val="32"/>
          <w:lang w:val="en-US" w:eastAsia="zh-CN"/>
        </w:rPr>
      </w:pPr>
      <w:r>
        <w:rPr>
          <w:rFonts w:ascii="仿宋_GB2312" w:eastAsia="仿宋_GB2312" w:hAnsi="仿宋_GB2312" w:cs="仿宋_GB2312" w:hint="eastAsia"/>
          <w:b/>
          <w:bCs/>
          <w:color w:val="auto"/>
          <w:sz w:val="32"/>
          <w:szCs w:val="32"/>
          <w:highlight w:val="none"/>
          <w:lang w:val="en-US" w:eastAsia="zh-CN"/>
        </w:rPr>
        <w:t>第十六条</w:t>
      </w:r>
      <w:r>
        <w:rPr>
          <w:rFonts w:ascii="仿宋_GB2312" w:eastAsia="仿宋_GB2312" w:hAnsi="仿宋_GB2312" w:cs="仿宋_GB2312" w:hint="eastAsia"/>
          <w:color w:val="auto"/>
          <w:sz w:val="32"/>
          <w:szCs w:val="32"/>
          <w:highlight w:val="none"/>
          <w:lang w:val="en-US" w:eastAsia="zh-CN"/>
        </w:rPr>
        <w:t xml:space="preserve"> </w:t>
      </w:r>
      <w:r>
        <w:rPr>
          <w:rFonts w:ascii="仿宋_GB2312" w:eastAsia="仿宋_GB2312" w:hAnsi="仿宋_GB2312" w:cs="仿宋_GB2312" w:hint="eastAsia"/>
          <w:color w:val="auto"/>
          <w:sz w:val="32"/>
          <w:szCs w:val="32"/>
          <w:lang w:val="en-US" w:eastAsia="zh-CN"/>
        </w:rPr>
        <w:t>市场主体申报的住所和经营场所登记与实际情况不符的，由市场监管部门责令整改，逾期不改正的，依法处理。对通过登记的住所或者经营场所无法联系的市场主体，依法在国家企业信用信息公示系统平台予以公示，并列入经营异常名录或标记为经营异常状态。</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u w:val="none"/>
          <w:lang w:val="en-US" w:eastAsia="zh-CN"/>
        </w:rPr>
      </w:pPr>
      <w:r>
        <w:rPr>
          <w:rFonts w:ascii="仿宋_GB2312" w:eastAsia="仿宋_GB2312" w:hAnsi="仿宋_GB2312" w:cs="仿宋_GB2312" w:hint="eastAsia"/>
          <w:b/>
          <w:bCs/>
          <w:color w:val="auto"/>
          <w:sz w:val="32"/>
          <w:szCs w:val="32"/>
          <w:lang w:val="en-US" w:eastAsia="zh-CN"/>
        </w:rPr>
        <w:t>第十七条</w:t>
      </w:r>
      <w:r>
        <w:rPr>
          <w:rFonts w:ascii="仿宋_GB2312" w:eastAsia="仿宋_GB2312" w:hAnsi="仿宋_GB2312" w:cs="仿宋_GB2312" w:hint="eastAsia"/>
          <w:color w:val="auto"/>
          <w:sz w:val="32"/>
          <w:szCs w:val="32"/>
          <w:lang w:val="en-US" w:eastAsia="zh-CN"/>
        </w:rPr>
        <w:t xml:space="preserve"> 登记机关对作出虚假承诺或不实承诺申报登记的市场主体，按照提交虚假材料或采取其他欺诈手段隐瞒重要事实骗取登记的行为依法进行处理，并通过国家企业信用信息公示系统平台予以公示。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u w:val="none"/>
          <w:lang w:val="en-US" w:eastAsia="zh-CN"/>
        </w:rPr>
      </w:pPr>
      <w:r>
        <w:rPr>
          <w:rFonts w:ascii="仿宋_GB2312" w:eastAsia="仿宋_GB2312" w:hAnsi="仿宋_GB2312" w:cs="仿宋_GB2312" w:hint="eastAsia"/>
          <w:b/>
          <w:bCs/>
          <w:color w:val="auto"/>
          <w:sz w:val="32"/>
          <w:szCs w:val="32"/>
          <w:u w:val="none"/>
          <w:lang w:val="en-US" w:eastAsia="zh-CN"/>
        </w:rPr>
        <w:t>第十八条</w:t>
      </w:r>
      <w:r>
        <w:rPr>
          <w:rFonts w:ascii="仿宋_GB2312" w:eastAsia="仿宋_GB2312" w:hAnsi="仿宋_GB2312" w:cs="仿宋_GB2312" w:hint="eastAsia"/>
          <w:color w:val="auto"/>
          <w:sz w:val="32"/>
          <w:szCs w:val="32"/>
          <w:u w:val="none"/>
          <w:lang w:val="en-US" w:eastAsia="zh-CN"/>
        </w:rPr>
        <w:t xml:space="preserve"> 市场监管部门建立虚假登记责任人数据库，并纳入登记系统。对于提供虚假材料、虚假承诺或采取其他欺诈手段隐瞒重要事实骗取登记的，经调查属实的，将相关责任人纳入虚假登记责任人数据库，在1年内对其再次申请商事登记的，根据法定条件和程序，对申请材料的实质内容进行核实。</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b/>
          <w:bCs/>
          <w:color w:val="auto"/>
          <w:sz w:val="32"/>
          <w:szCs w:val="32"/>
          <w:highlight w:val="none"/>
          <w:lang w:val="en-US" w:eastAsia="zh-CN"/>
        </w:rPr>
        <w:t>第十九条</w:t>
      </w:r>
      <w:r>
        <w:rPr>
          <w:rFonts w:ascii="仿宋_GB2312" w:eastAsia="仿宋_GB2312" w:hAnsi="仿宋_GB2312" w:cs="仿宋_GB2312" w:hint="eastAsia"/>
          <w:color w:val="auto"/>
          <w:sz w:val="32"/>
          <w:szCs w:val="32"/>
          <w:highlight w:val="none"/>
          <w:lang w:val="en-US" w:eastAsia="zh-CN"/>
        </w:rPr>
        <w:t xml:space="preserve"> </w:t>
      </w:r>
      <w:r>
        <w:rPr>
          <w:rFonts w:ascii="仿宋_GB2312" w:eastAsia="仿宋_GB2312" w:hAnsi="仿宋_GB2312" w:cs="仿宋_GB2312" w:hint="eastAsia"/>
          <w:b w:val="0"/>
          <w:i w:val="0"/>
          <w:caps w:val="0"/>
          <w:color w:val="auto"/>
          <w:spacing w:val="0"/>
          <w:sz w:val="32"/>
          <w:szCs w:val="32"/>
          <w:shd w:val="clear" w:color="auto" w:fill="FFFFFF"/>
        </w:rPr>
        <w:t>《</w:t>
      </w:r>
      <w:r>
        <w:rPr>
          <w:rFonts w:ascii="仿宋_GB2312" w:eastAsia="仿宋_GB2312" w:hAnsi="仿宋_GB2312" w:cs="仿宋_GB2312" w:hint="eastAsia"/>
          <w:b w:val="0"/>
          <w:i w:val="0"/>
          <w:caps w:val="0"/>
          <w:color w:val="auto"/>
          <w:spacing w:val="0"/>
          <w:sz w:val="32"/>
          <w:szCs w:val="32"/>
          <w:shd w:val="clear" w:color="auto" w:fill="FFFFFF"/>
          <w:lang w:eastAsia="zh-CN"/>
        </w:rPr>
        <w:t>市场主体住所（经营场所）自主</w:t>
      </w:r>
      <w:r>
        <w:rPr>
          <w:rFonts w:ascii="仿宋_GB2312" w:eastAsia="仿宋_GB2312" w:hAnsi="仿宋_GB2312" w:cs="仿宋_GB2312" w:hint="eastAsia"/>
          <w:b w:val="0"/>
          <w:i w:val="0"/>
          <w:caps w:val="0"/>
          <w:color w:val="auto"/>
          <w:spacing w:val="0"/>
          <w:sz w:val="32"/>
          <w:szCs w:val="32"/>
          <w:shd w:val="clear" w:color="auto" w:fill="FFFFFF"/>
        </w:rPr>
        <w:t>申报承诺表》</w:t>
      </w:r>
      <w:r>
        <w:rPr>
          <w:rFonts w:ascii="仿宋_GB2312" w:eastAsia="仿宋_GB2312" w:hAnsi="仿宋_GB2312" w:cs="仿宋_GB2312" w:hint="eastAsia"/>
          <w:b w:val="0"/>
          <w:i w:val="0"/>
          <w:caps w:val="0"/>
          <w:color w:val="auto"/>
          <w:spacing w:val="0"/>
          <w:sz w:val="32"/>
          <w:szCs w:val="32"/>
          <w:shd w:val="clear" w:color="auto" w:fill="FFFFFF"/>
          <w:lang w:eastAsia="zh-CN"/>
        </w:rPr>
        <w:t>（见附件）由市市场监管局和市行政审批局统一制定</w:t>
      </w:r>
      <w:r>
        <w:rPr>
          <w:rFonts w:ascii="仿宋_GB2312" w:eastAsia="仿宋_GB2312" w:hAnsi="仿宋_GB2312" w:cs="仿宋_GB2312" w:hint="eastAsia"/>
          <w:color w:val="auto"/>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b/>
          <w:bCs/>
          <w:color w:val="auto"/>
          <w:sz w:val="32"/>
          <w:szCs w:val="32"/>
          <w:highlight w:val="none"/>
          <w:lang w:val="en-US" w:eastAsia="zh-CN"/>
        </w:rPr>
        <w:t>第二十条</w:t>
      </w:r>
      <w:r>
        <w:rPr>
          <w:rFonts w:ascii="仿宋_GB2312" w:eastAsia="仿宋_GB2312" w:hAnsi="仿宋_GB2312" w:cs="仿宋_GB2312" w:hint="eastAsia"/>
          <w:color w:val="auto"/>
          <w:sz w:val="32"/>
          <w:szCs w:val="32"/>
          <w:highlight w:val="none"/>
          <w:lang w:val="en-US" w:eastAsia="zh-CN"/>
        </w:rPr>
        <w:t xml:space="preserve"> </w:t>
      </w:r>
      <w:r>
        <w:rPr>
          <w:rFonts w:ascii="仿宋_GB2312" w:eastAsia="仿宋_GB2312" w:hAnsi="仿宋_GB2312" w:cs="仿宋_GB2312" w:hint="eastAsia"/>
          <w:color w:val="auto"/>
          <w:sz w:val="32"/>
          <w:szCs w:val="32"/>
          <w:u w:val="none"/>
          <w:lang w:val="en-US" w:eastAsia="zh-CN"/>
        </w:rPr>
        <w:t>本工作指引由柳州市市场监督管理局、柳州市行政审批局负责解释。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b/>
          <w:bCs/>
          <w:color w:val="auto"/>
          <w:sz w:val="32"/>
          <w:szCs w:val="32"/>
          <w:highlight w:val="none"/>
          <w:lang w:val="en-US" w:eastAsia="zh-CN"/>
        </w:rPr>
        <w:t>第二十一条</w:t>
      </w:r>
      <w:r>
        <w:rPr>
          <w:rFonts w:ascii="仿宋_GB2312" w:eastAsia="仿宋_GB2312" w:hAnsi="仿宋_GB2312" w:cs="仿宋_GB2312" w:hint="eastAsia"/>
          <w:color w:val="auto"/>
          <w:sz w:val="32"/>
          <w:szCs w:val="32"/>
          <w:highlight w:val="none"/>
          <w:lang w:val="en-US" w:eastAsia="zh-CN"/>
        </w:rPr>
        <w:t xml:space="preserve"> 本</w:t>
      </w:r>
      <w:r>
        <w:rPr>
          <w:rFonts w:ascii="仿宋_GB2312" w:eastAsia="仿宋_GB2312" w:hAnsi="仿宋_GB2312" w:cs="仿宋_GB2312" w:hint="eastAsia"/>
          <w:color w:val="auto"/>
          <w:sz w:val="32"/>
          <w:szCs w:val="32"/>
          <w:u w:val="none"/>
          <w:lang w:val="en-US" w:eastAsia="zh-CN"/>
        </w:rPr>
        <w:t>工作指引</w:t>
      </w:r>
      <w:r>
        <w:rPr>
          <w:rFonts w:ascii="仿宋_GB2312" w:eastAsia="仿宋_GB2312" w:hAnsi="仿宋_GB2312" w:cs="仿宋_GB2312" w:hint="eastAsia"/>
          <w:color w:val="auto"/>
          <w:sz w:val="32"/>
          <w:szCs w:val="32"/>
          <w:highlight w:val="none"/>
          <w:lang w:val="en-US" w:eastAsia="zh-CN"/>
        </w:rPr>
        <w:t>自2021年7月12日起实施。</w:t>
      </w:r>
    </w:p>
    <w:p>
      <w:pPr>
        <w:jc w:val="left"/>
        <w:rPr>
          <w:rFonts w:ascii="仿宋_GB2312" w:eastAsia="仿宋_GB2312" w:hAnsi="仿宋_GB2312" w:cs="仿宋_GB2312" w:hint="eastAsia"/>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firstLine="420" w:rightChars="0" w:firstLineChars="200"/>
        <w:jc w:val="both"/>
        <w:textAlignment w:val="auto"/>
        <w:outlineLvl w:val="9"/>
        <w:rPr>
          <w:rFonts w:ascii="仿宋_GB2312" w:eastAsia="仿宋_GB2312" w:hAnsi="仿宋_GB2312" w:cs="仿宋_GB2312" w:hint="eastAsia"/>
          <w:color w:val="auto"/>
          <w:sz w:val="32"/>
          <w:szCs w:val="32"/>
          <w:highlight w:val="none"/>
          <w:lang w:val="en-US" w:eastAsia="zh-CN"/>
        </w:rPr>
      </w:pPr>
      <w:r>
        <w:rPr>
          <w:rFonts w:ascii="仿宋_GB2312" w:eastAsia="仿宋_GB2312" w:hAnsi="仿宋_GB2312" w:cs="仿宋_GB2312" w:hint="eastAsia"/>
          <w:color w:val="auto"/>
          <w:sz w:val="32"/>
          <w:szCs w:val="32"/>
          <w:highlight w:val="none"/>
          <w:lang w:val="en-US" w:eastAsia="zh-CN"/>
        </w:rPr>
        <w:t>附件：市场主体住所（经营场所）自主申报承诺表</w:t>
      </w:r>
    </w:p>
    <w:p>
      <w:pPr>
        <w:jc w:val="left"/>
        <w:rPr>
          <w:rFonts w:ascii="仿宋_GB2312" w:eastAsia="仿宋_GB2312" w:hAnsi="仿宋_GB2312" w:cs="仿宋_GB2312" w:hint="eastAsia"/>
          <w:color w:val="auto"/>
          <w:sz w:val="32"/>
          <w:szCs w:val="32"/>
          <w:highlight w:val="none"/>
          <w:lang w:val="en-US" w:eastAsia="zh-CN"/>
        </w:rPr>
      </w:pPr>
    </w:p>
    <w:p>
      <w:pPr>
        <w:jc w:val="left"/>
        <w:rPr>
          <w:rFonts w:ascii="仿宋_GB2312" w:eastAsia="仿宋_GB2312" w:hAnsi="仿宋_GB2312" w:cs="仿宋_GB2312" w:hint="eastAsia"/>
          <w:color w:val="auto"/>
          <w:sz w:val="32"/>
          <w:szCs w:val="32"/>
          <w:highlight w:val="none"/>
          <w:lang w:val="en-US" w:eastAsia="zh-CN"/>
        </w:rPr>
      </w:pPr>
    </w:p>
    <w:p>
      <w:pPr>
        <w:jc w:val="left"/>
        <w:rPr>
          <w:rFonts w:ascii="仿宋_GB2312" w:eastAsia="仿宋_GB2312" w:hAnsi="仿宋_GB2312" w:cs="仿宋_GB2312" w:hint="eastAsia"/>
          <w:color w:val="auto"/>
          <w:sz w:val="32"/>
          <w:szCs w:val="32"/>
          <w:highlight w:val="none"/>
          <w:lang w:val="en-US" w:eastAsia="zh-CN"/>
        </w:rPr>
      </w:pPr>
    </w:p>
    <w:p>
      <w:pPr>
        <w:jc w:val="left"/>
        <w:rPr>
          <w:rFonts w:ascii="仿宋_GB2312" w:eastAsia="仿宋_GB2312" w:hAnsi="仿宋_GB2312" w:cs="仿宋_GB2312" w:hint="eastAsia"/>
          <w:color w:val="auto"/>
          <w:sz w:val="32"/>
          <w:szCs w:val="32"/>
          <w:highlight w:val="none"/>
          <w:lang w:val="en-US" w:eastAsia="zh-CN"/>
        </w:rPr>
      </w:pPr>
    </w:p>
    <w:p>
      <w:pPr>
        <w:jc w:val="left"/>
        <w:rPr>
          <w:rFonts w:ascii="仿宋_GB2312" w:eastAsia="仿宋_GB2312" w:hAnsi="仿宋_GB2312" w:cs="仿宋_GB2312" w:hint="eastAsia"/>
          <w:color w:val="auto"/>
          <w:sz w:val="32"/>
          <w:szCs w:val="32"/>
          <w:highlight w:val="none"/>
          <w:lang w:val="en-US" w:eastAsia="zh-CN"/>
        </w:rPr>
      </w:pPr>
    </w:p>
    <w:p>
      <w:pPr>
        <w:jc w:val="left"/>
        <w:rPr>
          <w:rFonts w:ascii="仿宋_GB2312" w:eastAsia="仿宋_GB2312" w:hAnsi="仿宋_GB2312" w:cs="仿宋_GB2312" w:hint="eastAsia"/>
          <w:color w:val="auto"/>
          <w:sz w:val="32"/>
          <w:szCs w:val="32"/>
          <w:highlight w:val="none"/>
          <w:lang w:val="en-US" w:eastAsia="zh-CN"/>
        </w:rPr>
      </w:pPr>
    </w:p>
    <w:p>
      <w:pPr>
        <w:jc w:val="left"/>
        <w:rPr>
          <w:rFonts w:ascii="仿宋_GB2312" w:eastAsia="仿宋_GB2312" w:hAnsi="仿宋_GB2312" w:cs="仿宋_GB2312" w:hint="eastAsia"/>
          <w:color w:val="auto"/>
          <w:sz w:val="32"/>
          <w:szCs w:val="32"/>
          <w:highlight w:val="none"/>
          <w:lang w:val="en-US" w:eastAsia="zh-CN"/>
        </w:rPr>
      </w:pPr>
    </w:p>
    <w:p>
      <w:pPr>
        <w:pStyle w:val="Default"/>
        <w:rPr>
          <w:rFonts w:ascii="仿宋_GB2312" w:eastAsia="仿宋_GB2312" w:hAnsi="仿宋_GB2312" w:cs="仿宋_GB2312" w:hint="eastAsia"/>
          <w:color w:val="auto"/>
          <w:sz w:val="32"/>
          <w:szCs w:val="32"/>
          <w:highlight w:val="none"/>
          <w:lang w:val="en-US" w:eastAsia="zh-CN"/>
        </w:rPr>
      </w:pPr>
    </w:p>
    <w:p>
      <w:pPr>
        <w:pStyle w:val="Default"/>
        <w:rPr>
          <w:rFonts w:ascii="仿宋_GB2312" w:eastAsia="仿宋_GB2312" w:hAnsi="仿宋_GB2312" w:cs="仿宋_GB2312" w:hint="eastAsia"/>
          <w:color w:val="auto"/>
          <w:sz w:val="32"/>
          <w:szCs w:val="32"/>
          <w:highlight w:val="none"/>
          <w:lang w:val="en-US" w:eastAsia="zh-CN"/>
        </w:rPr>
      </w:pPr>
    </w:p>
    <w:p>
      <w:pPr>
        <w:pStyle w:val="Default"/>
        <w:rPr>
          <w:rFonts w:ascii="仿宋_GB2312" w:eastAsia="仿宋_GB2312" w:hAnsi="仿宋_GB2312" w:cs="仿宋_GB2312" w:hint="eastAsia"/>
          <w:color w:val="auto"/>
          <w:sz w:val="32"/>
          <w:szCs w:val="32"/>
          <w:highlight w:val="none"/>
          <w:lang w:val="en-US" w:eastAsia="zh-CN"/>
        </w:rPr>
      </w:pPr>
    </w:p>
    <w:p>
      <w:pPr>
        <w:pStyle w:val="Default"/>
        <w:rPr>
          <w:rFonts w:ascii="仿宋_GB2312" w:eastAsia="仿宋_GB2312" w:hAnsi="仿宋_GB2312" w:cs="仿宋_GB2312" w:hint="eastAsia"/>
          <w:color w:val="auto"/>
          <w:sz w:val="32"/>
          <w:szCs w:val="32"/>
          <w:highlight w:val="none"/>
          <w:lang w:val="en-US" w:eastAsia="zh-CN"/>
        </w:rPr>
      </w:pPr>
    </w:p>
    <w:p>
      <w:pPr>
        <w:pStyle w:val="Default"/>
        <w:rPr>
          <w:rFonts w:ascii="黑体" w:eastAsia="黑体" w:hAnsi="黑体" w:cs="黑体" w:hint="eastAsia"/>
          <w:color w:val="auto"/>
          <w:sz w:val="32"/>
          <w:szCs w:val="32"/>
          <w:highlight w:val="none"/>
          <w:lang w:val="en-US" w:eastAsia="zh-CN"/>
        </w:rPr>
      </w:pPr>
    </w:p>
    <w:p>
      <w:pPr>
        <w:pStyle w:val="Default"/>
        <w:rPr>
          <w:rFonts w:ascii="黑体" w:eastAsia="黑体" w:hAnsi="黑体" w:cs="黑体" w:hint="eastAsia"/>
          <w:color w:val="auto"/>
          <w:sz w:val="32"/>
          <w:szCs w:val="32"/>
          <w:highlight w:val="none"/>
          <w:lang w:val="en-US" w:eastAsia="zh-CN"/>
        </w:rPr>
      </w:pPr>
    </w:p>
    <w:p>
      <w:pPr>
        <w:pStyle w:val="Default"/>
        <w:rPr>
          <w:rFonts w:ascii="黑体" w:eastAsia="黑体" w:hAnsi="黑体" w:cs="黑体" w:hint="eastAsia"/>
          <w:color w:val="auto"/>
          <w:sz w:val="32"/>
          <w:szCs w:val="32"/>
          <w:highlight w:val="none"/>
          <w:lang w:val="en-US" w:eastAsia="zh-CN"/>
        </w:rPr>
      </w:pPr>
      <w:bookmarkStart w:id="0" w:name="_GoBack"/>
      <w:bookmarkEnd w:id="0"/>
      <w:r>
        <w:rPr>
          <w:rFonts w:ascii="黑体" w:eastAsia="黑体" w:hAnsi="黑体" w:cs="黑体" w:hint="eastAsia"/>
          <w:color w:val="auto"/>
          <w:sz w:val="32"/>
          <w:szCs w:val="32"/>
          <w:highlight w:val="none"/>
          <w:lang w:val="en-US" w:eastAsia="zh-CN"/>
        </w:rPr>
        <w:t>附件</w:t>
      </w:r>
    </w:p>
    <w:p>
      <w:pPr>
        <w:jc w:val="center"/>
        <w:rPr>
          <w:rFonts w:ascii="方正小标宋简体" w:eastAsia="方正小标宋简体" w:hAnsi="方正小标宋简体" w:cs="方正小标宋简体" w:hint="eastAsia"/>
          <w:sz w:val="44"/>
          <w:szCs w:val="44"/>
          <w:lang w:val="en-US" w:eastAsia="zh-CN"/>
        </w:rPr>
      </w:pPr>
      <w:r>
        <w:rPr>
          <w:rFonts w:ascii="方正小标宋简体" w:eastAsia="方正小标宋简体" w:hAnsi="方正小标宋简体" w:cs="方正小标宋简体" w:hint="eastAsia"/>
          <w:sz w:val="44"/>
          <w:szCs w:val="44"/>
          <w:lang w:val="en-US" w:eastAsia="zh-CN"/>
        </w:rPr>
        <w:t>市场主体住所（经营场所）自主申报承诺表</w:t>
      </w:r>
    </w:p>
    <w:tbl>
      <w:tblPr>
        <w:tblStyle w:val="TableGrid"/>
        <w:tblW w:w="96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302"/>
        <w:gridCol w:w="2302"/>
        <w:gridCol w:w="2302"/>
        <w:gridCol w:w="2733"/>
      </w:tblGrid>
      <w:tr>
        <w:tblPrEx>
          <w:tblW w:w="96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41"/>
        </w:trPr>
        <w:tc>
          <w:tcPr>
            <w:tcW w:w="2302" w:type="dxa"/>
            <w:vAlign w:val="center"/>
          </w:tcPr>
          <w:p>
            <w:pPr>
              <w:jc w:val="center"/>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lang w:val="en-US" w:eastAsia="zh-CN"/>
              </w:rPr>
              <w:t>企业名称</w:t>
            </w:r>
          </w:p>
        </w:tc>
        <w:tc>
          <w:tcPr>
            <w:tcW w:w="7337" w:type="dxa"/>
            <w:gridSpan w:val="3"/>
            <w:vAlign w:val="center"/>
          </w:tcPr>
          <w:p>
            <w:pPr>
              <w:jc w:val="center"/>
              <w:rPr>
                <w:rFonts w:ascii="仿宋_GB2312" w:eastAsia="仿宋_GB2312" w:hAnsi="仿宋_GB2312" w:cs="仿宋_GB2312" w:hint="eastAsia"/>
                <w:sz w:val="24"/>
                <w:szCs w:val="24"/>
                <w:vertAlign w:val="baseline"/>
                <w:lang w:val="en-US" w:eastAsia="zh-CN"/>
              </w:rPr>
            </w:pPr>
          </w:p>
        </w:tc>
      </w:tr>
      <w:tr>
        <w:tblPrEx>
          <w:tblW w:w="9639" w:type="dxa"/>
          <w:tblInd w:w="0" w:type="dxa"/>
          <w:tblLayout w:type="fixed"/>
          <w:tblCellMar>
            <w:top w:w="0" w:type="dxa"/>
            <w:left w:w="108" w:type="dxa"/>
            <w:bottom w:w="0" w:type="dxa"/>
            <w:right w:w="108" w:type="dxa"/>
          </w:tblCellMar>
        </w:tblPrEx>
        <w:trPr>
          <w:trHeight w:val="483"/>
        </w:trPr>
        <w:tc>
          <w:tcPr>
            <w:tcW w:w="2302"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leftChars="0" w:rightChars="0" w:firstLineChars="0"/>
              <w:jc w:val="center"/>
              <w:textAlignment w:val="auto"/>
              <w:outlineLvl w:val="9"/>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标准地址表述</w:t>
            </w:r>
          </w:p>
        </w:tc>
        <w:tc>
          <w:tcPr>
            <w:tcW w:w="7337" w:type="dxa"/>
            <w:gridSpan w:val="3"/>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firstLine="0" w:leftChars="0" w:rightChars="0" w:firstLineChars="0"/>
              <w:jc w:val="center"/>
              <w:textAlignment w:val="auto"/>
              <w:outlineLvl w:val="9"/>
              <w:rPr>
                <w:rFonts w:ascii="仿宋_GB2312" w:eastAsia="仿宋_GB2312" w:hAnsi="仿宋_GB2312" w:cs="仿宋_GB2312" w:hint="eastAsia"/>
                <w:sz w:val="24"/>
                <w:szCs w:val="24"/>
                <w:vertAlign w:val="baseline"/>
                <w:lang w:val="en-US" w:eastAsia="zh-CN"/>
              </w:rPr>
            </w:pPr>
          </w:p>
        </w:tc>
      </w:tr>
      <w:tr>
        <w:tblPrEx>
          <w:tblW w:w="9639" w:type="dxa"/>
          <w:tblInd w:w="0" w:type="dxa"/>
          <w:tblLayout w:type="fixed"/>
          <w:tblCellMar>
            <w:top w:w="0" w:type="dxa"/>
            <w:left w:w="108" w:type="dxa"/>
            <w:bottom w:w="0" w:type="dxa"/>
            <w:right w:w="108" w:type="dxa"/>
          </w:tblCellMar>
        </w:tblPrEx>
        <w:trPr>
          <w:trHeight w:val="541"/>
        </w:trPr>
        <w:tc>
          <w:tcPr>
            <w:tcW w:w="2302" w:type="dxa"/>
            <w:vAlign w:val="center"/>
          </w:tcPr>
          <w:p>
            <w:pPr>
              <w:jc w:val="center"/>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房屋所有权人</w:t>
            </w:r>
          </w:p>
        </w:tc>
        <w:tc>
          <w:tcPr>
            <w:tcW w:w="2302" w:type="dxa"/>
            <w:vAlign w:val="center"/>
          </w:tcPr>
          <w:p>
            <w:pPr>
              <w:jc w:val="center"/>
              <w:rPr>
                <w:rFonts w:ascii="仿宋_GB2312" w:eastAsia="仿宋_GB2312" w:hAnsi="仿宋_GB2312" w:cs="仿宋_GB2312" w:hint="eastAsia"/>
                <w:sz w:val="24"/>
                <w:szCs w:val="24"/>
                <w:vertAlign w:val="baseline"/>
                <w:lang w:val="en-US" w:eastAsia="zh-CN"/>
              </w:rPr>
            </w:pPr>
          </w:p>
        </w:tc>
        <w:tc>
          <w:tcPr>
            <w:tcW w:w="2302" w:type="dxa"/>
            <w:vAlign w:val="center"/>
          </w:tcPr>
          <w:p>
            <w:pPr>
              <w:jc w:val="center"/>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联系电话</w:t>
            </w:r>
          </w:p>
        </w:tc>
        <w:tc>
          <w:tcPr>
            <w:tcW w:w="2733" w:type="dxa"/>
            <w:vAlign w:val="center"/>
          </w:tcPr>
          <w:p>
            <w:pPr>
              <w:jc w:val="center"/>
              <w:rPr>
                <w:rFonts w:ascii="仿宋_GB2312" w:eastAsia="仿宋_GB2312" w:hAnsi="仿宋_GB2312" w:cs="仿宋_GB2312" w:hint="eastAsia"/>
                <w:sz w:val="24"/>
                <w:szCs w:val="24"/>
                <w:vertAlign w:val="baseline"/>
                <w:lang w:val="en-US" w:eastAsia="zh-CN"/>
              </w:rPr>
            </w:pPr>
          </w:p>
        </w:tc>
      </w:tr>
      <w:tr>
        <w:tblPrEx>
          <w:tblW w:w="9639" w:type="dxa"/>
          <w:tblInd w:w="0" w:type="dxa"/>
          <w:tblLayout w:type="fixed"/>
          <w:tblCellMar>
            <w:top w:w="0" w:type="dxa"/>
            <w:left w:w="108" w:type="dxa"/>
            <w:bottom w:w="0" w:type="dxa"/>
            <w:right w:w="108" w:type="dxa"/>
          </w:tblCellMar>
        </w:tblPrEx>
        <w:trPr>
          <w:trHeight w:val="1066"/>
        </w:trPr>
        <w:tc>
          <w:tcPr>
            <w:tcW w:w="2302" w:type="dxa"/>
            <w:vAlign w:val="center"/>
          </w:tcPr>
          <w:p>
            <w:pPr>
              <w:jc w:val="center"/>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使用权取得</w:t>
            </w:r>
          </w:p>
        </w:tc>
        <w:tc>
          <w:tcPr>
            <w:tcW w:w="7337" w:type="dxa"/>
            <w:gridSpan w:val="3"/>
            <w:vAlign w:val="center"/>
          </w:tcPr>
          <w:p>
            <w:pPr>
              <w:jc w:val="center"/>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□自有 □租赁 □无偿使用 □由商务秘书企业托管</w:t>
            </w:r>
          </w:p>
          <w:p>
            <w:pPr>
              <w:jc w:val="center"/>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□转租赁，并已征得房屋所有权人的同意</w:t>
            </w:r>
          </w:p>
        </w:tc>
      </w:tr>
      <w:tr>
        <w:tblPrEx>
          <w:tblW w:w="9639" w:type="dxa"/>
          <w:tblInd w:w="0" w:type="dxa"/>
          <w:tblLayout w:type="fixed"/>
          <w:tblCellMar>
            <w:top w:w="0" w:type="dxa"/>
            <w:left w:w="108" w:type="dxa"/>
            <w:bottom w:w="0" w:type="dxa"/>
            <w:right w:w="108" w:type="dxa"/>
          </w:tblCellMar>
        </w:tblPrEx>
        <w:trPr>
          <w:trHeight w:val="541"/>
        </w:trPr>
        <w:tc>
          <w:tcPr>
            <w:tcW w:w="2302" w:type="dxa"/>
            <w:vAlign w:val="center"/>
          </w:tcPr>
          <w:p>
            <w:pPr>
              <w:jc w:val="center"/>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房屋法定用途</w:t>
            </w:r>
          </w:p>
        </w:tc>
        <w:tc>
          <w:tcPr>
            <w:tcW w:w="7337" w:type="dxa"/>
            <w:gridSpan w:val="3"/>
            <w:vAlign w:val="center"/>
          </w:tcPr>
          <w:p>
            <w:pPr>
              <w:jc w:val="center"/>
              <w:rPr>
                <w:rFonts w:ascii="仿宋_GB2312" w:eastAsia="仿宋_GB2312" w:hAnsi="仿宋_GB2312" w:cs="仿宋_GB2312" w:hint="default"/>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□商业 □工业 □办公 □住宅 □其他__________(填写)</w:t>
            </w:r>
          </w:p>
        </w:tc>
      </w:tr>
      <w:tr>
        <w:tblPrEx>
          <w:tblW w:w="9639" w:type="dxa"/>
          <w:tblInd w:w="0" w:type="dxa"/>
          <w:tblLayout w:type="fixed"/>
          <w:tblCellMar>
            <w:top w:w="0" w:type="dxa"/>
            <w:left w:w="108" w:type="dxa"/>
            <w:bottom w:w="0" w:type="dxa"/>
            <w:right w:w="108" w:type="dxa"/>
          </w:tblCellMar>
        </w:tblPrEx>
        <w:trPr>
          <w:trHeight w:val="541"/>
        </w:trPr>
        <w:tc>
          <w:tcPr>
            <w:tcW w:w="2302" w:type="dxa"/>
            <w:vAlign w:val="center"/>
          </w:tcPr>
          <w:p>
            <w:pPr>
              <w:jc w:val="center"/>
              <w:rPr>
                <w:rFonts w:ascii="仿宋_GB2312" w:eastAsia="仿宋_GB2312" w:hAnsi="仿宋_GB2312" w:cs="仿宋_GB2312" w:hint="default"/>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使用期限</w:t>
            </w:r>
          </w:p>
        </w:tc>
        <w:tc>
          <w:tcPr>
            <w:tcW w:w="7337" w:type="dxa"/>
            <w:gridSpan w:val="3"/>
            <w:vAlign w:val="center"/>
          </w:tcPr>
          <w:p>
            <w:pPr>
              <w:jc w:val="center"/>
              <w:rPr>
                <w:rFonts w:ascii="仿宋_GB2312" w:eastAsia="仿宋_GB2312" w:hAnsi="仿宋_GB2312" w:cs="仿宋_GB2312" w:hint="default"/>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年   月   日 至  年  月  日</w:t>
            </w:r>
          </w:p>
        </w:tc>
      </w:tr>
      <w:tr>
        <w:tblPrEx>
          <w:tblW w:w="9639" w:type="dxa"/>
          <w:tblInd w:w="0" w:type="dxa"/>
          <w:tblLayout w:type="fixed"/>
          <w:tblCellMar>
            <w:top w:w="0" w:type="dxa"/>
            <w:left w:w="108" w:type="dxa"/>
            <w:bottom w:w="0" w:type="dxa"/>
            <w:right w:w="108" w:type="dxa"/>
          </w:tblCellMar>
        </w:tblPrEx>
        <w:trPr>
          <w:trHeight w:val="6200"/>
        </w:trPr>
        <w:tc>
          <w:tcPr>
            <w:tcW w:w="9639" w:type="dxa"/>
            <w:gridSpan w:val="4"/>
          </w:tcPr>
          <w:p>
            <w:pPr>
              <w:numPr>
                <w:ilvl w:val="0"/>
                <w:numId w:val="0"/>
              </w:numPr>
              <w:spacing w:line="300" w:lineRule="exact"/>
              <w:ind w:firstLine="420" w:firstLineChars="200"/>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申请人郑重承诺如下：</w:t>
            </w:r>
          </w:p>
          <w:p>
            <w:pPr>
              <w:numPr>
                <w:ilvl w:val="0"/>
                <w:numId w:val="0"/>
              </w:numPr>
              <w:spacing w:line="300" w:lineRule="exact"/>
              <w:ind w:firstLine="420" w:firstLineChars="200"/>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1、已依法取得房屋使用权，申报的住所和经营场所信息与实际情况一致。该住所（经营场所）符合建筑安全、安全生产以及国家安全的要求，不属于违章建筑、危险建筑、被依法征收即将实施拆除的房屋、法律法规及政府相关规定的特定行业不得用于住所和经营场所的其他建筑，符合作为市场主体住所（经营场所）使用的条件。如承诺与真实情况不符，视为提交虚假材料，愿意接受有关职能部门的依法查处，并承担由此引起的相关法律责任；</w:t>
            </w:r>
          </w:p>
          <w:p>
            <w:pPr>
              <w:numPr>
                <w:ilvl w:val="0"/>
                <w:numId w:val="0"/>
              </w:numPr>
              <w:spacing w:line="300" w:lineRule="exact"/>
              <w:ind w:firstLine="420" w:firstLineChars="200"/>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2、在住所（经营场所）不从事危及国家安全、存在严重安全隐患、影响人民身体健康、对环境造成污染以及国家法律法规规定企业和个人不得开展的生产经营活动。如违反上述法律法规的规定，愿意自行承担所有经济损失，及时无条件办理变更或注销登记，并承担由此引起的相关法律责任；</w:t>
            </w:r>
          </w:p>
          <w:p>
            <w:pPr>
              <w:numPr>
                <w:ilvl w:val="0"/>
                <w:numId w:val="0"/>
              </w:numPr>
              <w:spacing w:line="300" w:lineRule="exact"/>
              <w:ind w:firstLine="420" w:firstLineChars="200"/>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3、已知悉《民法典》关于将住宅改变为经营性用房需取得利害关系业主同意的规定，遵守公序良俗，不侵害利害关系业主的合法权益。将住宅改为公司住所及经营场所的，已经征得有利害关系的业主一致同意。</w:t>
            </w:r>
          </w:p>
          <w:p>
            <w:pPr>
              <w:numPr>
                <w:ilvl w:val="0"/>
                <w:numId w:val="0"/>
              </w:numPr>
              <w:spacing w:line="300" w:lineRule="exact"/>
              <w:ind w:firstLine="420" w:firstLineChars="200"/>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4、对住所（经营场所）有特定条件的，遵守有关法律法规的规定。</w:t>
            </w:r>
          </w:p>
          <w:p>
            <w:pPr>
              <w:numPr>
                <w:ilvl w:val="0"/>
                <w:numId w:val="0"/>
              </w:numPr>
              <w:spacing w:line="300" w:lineRule="exact"/>
              <w:ind w:firstLine="420" w:firstLineChars="200"/>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5、法律、法规规定应当经有关部门批准方可在住所和经营场所从事相关经营活动的，申请人承诺，取得许可证或批准文件后再开展相关经营活动。</w:t>
            </w:r>
          </w:p>
          <w:p>
            <w:pPr>
              <w:numPr>
                <w:ilvl w:val="0"/>
                <w:numId w:val="0"/>
              </w:numPr>
              <w:spacing w:line="300" w:lineRule="exact"/>
              <w:ind w:firstLine="420" w:firstLineChars="200"/>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 以上内容真实、合法、有效，若违背以上承诺，相关法律后果及责任由承诺人或本企业承担，并自愿接受信用失信处理，自愿接受相关行政执法部门的约束和惩戒。</w:t>
            </w:r>
          </w:p>
          <w:p>
            <w:pPr>
              <w:keepNext w:val="0"/>
              <w:keepLines w:val="0"/>
              <w:pageBreakBefore w:val="0"/>
              <w:widowControl w:val="0"/>
              <w:kinsoku/>
              <w:wordWrap/>
              <w:overflowPunct/>
              <w:topLinePunct w:val="0"/>
              <w:autoSpaceDE/>
              <w:autoSpaceDN/>
              <w:bidi w:val="0"/>
              <w:adjustRightInd/>
              <w:snapToGrid/>
              <w:spacing w:line="360" w:lineRule="exact"/>
              <w:ind w:left="0" w:right="0" w:firstLine="0" w:leftChars="0" w:rightChars="0" w:firstLineChars="0"/>
              <w:jc w:val="both"/>
              <w:textAlignment w:val="auto"/>
              <w:outlineLvl w:val="9"/>
              <w:rPr>
                <w:rFonts w:ascii="仿宋_GB2312" w:eastAsia="仿宋_GB2312" w:hAnsi="仿宋_GB2312" w:cs="仿宋_GB2312"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right="0" w:firstLine="0" w:leftChars="0" w:rightChars="0" w:firstLineChars="0"/>
              <w:jc w:val="both"/>
              <w:textAlignment w:val="auto"/>
              <w:outlineLvl w:val="9"/>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 xml:space="preserve">申请人签署：                                        </w:t>
            </w:r>
          </w:p>
          <w:p>
            <w:pPr>
              <w:keepNext w:val="0"/>
              <w:keepLines w:val="0"/>
              <w:pageBreakBefore w:val="0"/>
              <w:widowControl w:val="0"/>
              <w:kinsoku/>
              <w:wordWrap/>
              <w:overflowPunct/>
              <w:topLinePunct w:val="0"/>
              <w:autoSpaceDE/>
              <w:autoSpaceDN/>
              <w:bidi w:val="0"/>
              <w:adjustRightInd/>
              <w:snapToGrid/>
              <w:spacing w:line="360" w:lineRule="exact"/>
              <w:ind w:left="0" w:right="0" w:firstLine="0" w:leftChars="0" w:rightChars="0" w:firstLineChars="0"/>
              <w:jc w:val="both"/>
              <w:textAlignment w:val="auto"/>
              <w:outlineLvl w:val="9"/>
              <w:rPr>
                <w:rFonts w:ascii="仿宋_GB2312" w:eastAsia="仿宋_GB2312" w:hAnsi="仿宋_GB2312" w:cs="仿宋_GB2312" w:hint="eastAsia"/>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left="0" w:right="0" w:firstLine="6300" w:leftChars="0" w:rightChars="0" w:firstLineChars="3000"/>
              <w:jc w:val="both"/>
              <w:textAlignment w:val="auto"/>
              <w:outlineLvl w:val="9"/>
              <w:rPr>
                <w:rFonts w:ascii="仿宋_GB2312" w:eastAsia="仿宋_GB2312" w:hAnsi="仿宋_GB2312" w:cs="仿宋_GB2312" w:hint="eastAsia"/>
                <w:sz w:val="24"/>
                <w:szCs w:val="24"/>
                <w:vertAlign w:val="baseline"/>
                <w:lang w:val="en-US" w:eastAsia="zh-CN"/>
              </w:rPr>
            </w:pPr>
            <w:r>
              <w:rPr>
                <w:rFonts w:ascii="仿宋_GB2312" w:eastAsia="仿宋_GB2312" w:hAnsi="仿宋_GB2312" w:cs="仿宋_GB2312" w:hint="eastAsia"/>
                <w:sz w:val="24"/>
                <w:szCs w:val="24"/>
                <w:vertAlign w:val="baseline"/>
                <w:lang w:val="en-US" w:eastAsia="zh-CN"/>
              </w:rPr>
              <w:t xml:space="preserve"> 年   月   日</w:t>
            </w:r>
          </w:p>
        </w:tc>
      </w:tr>
    </w:tbl>
    <w:p>
      <w:pPr>
        <w:jc w:val="both"/>
        <w:rPr>
          <w:rFonts w:ascii="仿宋" w:eastAsia="仿宋" w:hAnsi="仿宋" w:cs="仿宋" w:hint="eastAsia"/>
          <w:sz w:val="24"/>
          <w:szCs w:val="24"/>
          <w:lang w:val="en-US" w:eastAsia="zh-CN"/>
        </w:rPr>
      </w:pPr>
      <w:r>
        <w:rPr>
          <w:rFonts w:ascii="仿宋" w:eastAsia="仿宋" w:hAnsi="仿宋" w:cs="仿宋" w:hint="eastAsia"/>
          <w:sz w:val="24"/>
          <w:szCs w:val="24"/>
          <w:lang w:val="en-US" w:eastAsia="zh-CN"/>
        </w:rPr>
        <w:t>填写说明：</w:t>
      </w:r>
    </w:p>
    <w:p>
      <w:pPr>
        <w:numPr>
          <w:ilvl w:val="0"/>
          <w:numId w:val="2"/>
        </w:numPr>
        <w:ind w:left="479" w:firstLine="0" w:leftChars="228" w:firstLineChars="0"/>
        <w:jc w:val="both"/>
        <w:rPr>
          <w:rFonts w:ascii="仿宋" w:eastAsia="仿宋" w:hAnsi="仿宋" w:cs="仿宋" w:hint="eastAsia"/>
          <w:sz w:val="24"/>
          <w:szCs w:val="24"/>
          <w:lang w:val="en-US" w:eastAsia="zh-CN"/>
        </w:rPr>
      </w:pPr>
      <w:r>
        <w:rPr>
          <w:rFonts w:ascii="仿宋" w:eastAsia="仿宋" w:hAnsi="仿宋" w:cs="仿宋" w:hint="eastAsia"/>
          <w:sz w:val="24"/>
          <w:szCs w:val="24"/>
          <w:lang w:val="en-US" w:eastAsia="zh-CN"/>
        </w:rPr>
        <w:t>有限责任公司设立时申报住所（经营场所）的，申请人为企业的全体股东；</w:t>
      </w:r>
    </w:p>
    <w:p>
      <w:pPr>
        <w:numPr>
          <w:ilvl w:val="0"/>
          <w:numId w:val="2"/>
        </w:numPr>
        <w:ind w:left="479" w:firstLine="0" w:leftChars="228" w:firstLineChars="0"/>
        <w:jc w:val="both"/>
        <w:rPr>
          <w:rFonts w:ascii="仿宋" w:eastAsia="仿宋" w:hAnsi="仿宋" w:cs="仿宋" w:hint="eastAsia"/>
          <w:sz w:val="24"/>
          <w:szCs w:val="24"/>
          <w:lang w:val="en-US" w:eastAsia="zh-CN"/>
        </w:rPr>
      </w:pPr>
      <w:r>
        <w:rPr>
          <w:rFonts w:ascii="仿宋" w:eastAsia="仿宋" w:hAnsi="仿宋" w:cs="仿宋" w:hint="eastAsia"/>
          <w:sz w:val="24"/>
          <w:szCs w:val="24"/>
          <w:lang w:val="en-US" w:eastAsia="zh-CN"/>
        </w:rPr>
        <w:t>股份有限公司设立时申报住所（经营场所）的，申请人为企业的董事会成员；3.合伙企业设立时申报住所（经营场所）的，申请人为企业的全体合伙人；</w:t>
      </w:r>
    </w:p>
    <w:p>
      <w:pPr>
        <w:numPr>
          <w:ilvl w:val="0"/>
          <w:numId w:val="0"/>
        </w:numPr>
        <w:ind w:left="479" w:leftChars="228"/>
        <w:jc w:val="both"/>
        <w:rPr>
          <w:rFonts w:ascii="仿宋" w:eastAsia="仿宋" w:hAnsi="仿宋" w:cs="仿宋" w:hint="eastAsia"/>
          <w:sz w:val="24"/>
          <w:szCs w:val="24"/>
          <w:lang w:val="en-US" w:eastAsia="zh-CN"/>
        </w:rPr>
      </w:pPr>
      <w:r>
        <w:rPr>
          <w:rFonts w:ascii="仿宋" w:eastAsia="仿宋" w:hAnsi="仿宋" w:cs="仿宋" w:hint="eastAsia"/>
          <w:sz w:val="24"/>
          <w:szCs w:val="24"/>
          <w:lang w:val="en-US" w:eastAsia="zh-CN"/>
        </w:rPr>
        <w:t>4.个人独资企业设立时申报住所（经营场所）的，申请人为企业的投资人；</w:t>
      </w:r>
    </w:p>
    <w:p>
      <w:pPr>
        <w:numPr>
          <w:ilvl w:val="0"/>
          <w:numId w:val="0"/>
        </w:numPr>
        <w:ind w:left="479" w:leftChars="228"/>
        <w:jc w:val="both"/>
        <w:rPr>
          <w:rFonts w:ascii="仿宋" w:eastAsia="仿宋" w:hAnsi="仿宋" w:cs="仿宋" w:hint="eastAsia"/>
          <w:sz w:val="24"/>
          <w:szCs w:val="24"/>
          <w:lang w:val="en-US" w:eastAsia="zh-CN"/>
        </w:rPr>
      </w:pPr>
      <w:r>
        <w:rPr>
          <w:rFonts w:ascii="仿宋" w:eastAsia="仿宋" w:hAnsi="仿宋" w:cs="仿宋" w:hint="eastAsia"/>
          <w:sz w:val="24"/>
          <w:szCs w:val="24"/>
          <w:lang w:val="en-US" w:eastAsia="zh-CN"/>
        </w:rPr>
        <w:t>5.企业设立后变更住所（经营场所）的，申请人为该企业，必须加盖公章，并由法定代表人签字。</w:t>
      </w:r>
    </w:p>
    <w:p>
      <w:pPr>
        <w:numPr>
          <w:ilvl w:val="0"/>
          <w:numId w:val="0"/>
        </w:numPr>
        <w:ind w:firstLine="420" w:firstLineChars="200"/>
        <w:jc w:val="both"/>
        <w:rPr>
          <w:rFonts w:ascii="仿宋" w:eastAsia="仿宋" w:hAnsi="仿宋" w:cs="仿宋" w:hint="eastAsia"/>
          <w:sz w:val="24"/>
          <w:szCs w:val="24"/>
          <w:lang w:val="en-US" w:eastAsia="zh-CN"/>
        </w:rPr>
      </w:pPr>
      <w:r>
        <w:rPr>
          <w:rFonts w:ascii="仿宋" w:eastAsia="仿宋" w:hAnsi="仿宋" w:cs="仿宋" w:hint="eastAsia"/>
          <w:sz w:val="24"/>
          <w:szCs w:val="24"/>
          <w:lang w:val="en-US" w:eastAsia="zh-CN"/>
        </w:rPr>
        <w:t>6.请依据实际情况勾选□，符合该项勾选“√”，不得多选空选。</w:t>
      </w:r>
    </w:p>
    <w:p>
      <w:pPr>
        <w:numPr>
          <w:ilvl w:val="0"/>
          <w:numId w:val="0"/>
        </w:numPr>
        <w:ind w:firstLine="420" w:firstLineChars="200"/>
        <w:jc w:val="both"/>
        <w:rPr>
          <w:rFonts w:ascii="仿宋" w:eastAsia="仿宋" w:hAnsi="仿宋" w:cs="仿宋" w:hint="eastAsia"/>
          <w:sz w:val="24"/>
          <w:szCs w:val="24"/>
          <w:lang w:val="en-US" w:eastAsia="zh-CN"/>
        </w:rPr>
      </w:pPr>
      <w:r>
        <w:rPr>
          <w:rFonts w:ascii="仿宋" w:eastAsia="仿宋" w:hAnsi="仿宋" w:cs="仿宋" w:hint="eastAsia"/>
          <w:sz w:val="24"/>
          <w:szCs w:val="24"/>
          <w:lang w:val="en-US" w:eastAsia="zh-CN"/>
        </w:rPr>
        <w:t>7.标准地址表述应按照省、市、县（区）、地名（城镇是街路巷，农村是村屯）、门牌号、小区名称（非必须）、楼号、单元号、房号（无门牌号的注明参照物名称）。如：广西柳州市城中区高新南路x号x栋x单元x室；广西柳州市鹿寨县四排乡四排村五村屯x号。</w:t>
      </w:r>
    </w:p>
    <w:p>
      <w:pPr>
        <w:rPr>
          <w:rFonts w:eastAsiaTheme="minorEastAsia" w:hint="eastAsia"/>
          <w:lang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sectPr>
          <w:headerReference w:type="default" r:id="rId5"/>
          <w:footerReference w:type="default" r:id="rId6"/>
          <w:pgSz w:w="11906" w:h="16838"/>
          <w:pgMar w:top="2098" w:right="1474" w:bottom="1984" w:left="1587" w:header="851" w:footer="992" w:gutter="0"/>
          <w:pgNumType w:fmt="numberInDash"/>
          <w:cols w:num="1" w:space="0"/>
          <w:titlePg/>
          <w:rtlGutter w:val="0"/>
          <w:docGrid w:type="lines" w:linePitch="312" w:charSpace="0"/>
        </w:sect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tbl>
      <w:tblPr>
        <w:tblStyle w:val="TableNormal"/>
        <w:tblpPr w:leftFromText="180" w:rightFromText="180" w:vertAnchor="page" w:horzAnchor="page" w:tblpX="1547" w:tblpY="12527"/>
        <w:tblOverlap w:val="never"/>
        <w:tblW w:w="8680" w:type="dxa"/>
        <w:tblInd w:w="0"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CellMar>
          <w:top w:w="0" w:type="dxa"/>
          <w:left w:w="108" w:type="dxa"/>
          <w:bottom w:w="0" w:type="dxa"/>
          <w:right w:w="108" w:type="dxa"/>
        </w:tblCellMar>
      </w:tblPr>
      <w:tblGrid>
        <w:gridCol w:w="4340"/>
        <w:gridCol w:w="4340"/>
      </w:tblGrid>
      <w:tr>
        <w:tblPrEx>
          <w:tblW w:w="8680" w:type="dxa"/>
          <w:tblInd w:w="0"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ayout w:type="fixed"/>
          <w:tblCellMar>
            <w:top w:w="0" w:type="dxa"/>
            <w:left w:w="108" w:type="dxa"/>
            <w:bottom w:w="0" w:type="dxa"/>
            <w:right w:w="108" w:type="dxa"/>
          </w:tblCellMar>
        </w:tblPrEx>
        <w:trPr>
          <w:trHeight w:val="586"/>
        </w:trPr>
        <w:tc>
          <w:tcPr>
            <w:tcW w:w="8680" w:type="dxa"/>
            <w:gridSpan w:val="2"/>
            <w:tcBorders>
              <w:bottom w:val="single" w:sz="12" w:space="0" w:color="auto"/>
            </w:tcBorders>
            <w:vAlign w:val="top"/>
          </w:tcPr>
          <w:p>
            <w:pPr>
              <w:rPr>
                <w:rFonts w:ascii="仿宋_GB2312" w:eastAsia="仿宋_GB2312" w:hAnsi="仿宋_GB2312" w:cs="仿宋_GB2312" w:hint="eastAsia"/>
                <w:sz w:val="32"/>
                <w:szCs w:val="28"/>
              </w:rPr>
            </w:pPr>
            <w:r>
              <w:rPr>
                <w:rFonts w:ascii="黑体" w:eastAsia="黑体" w:hAnsi="黑体" w:cs="黑体" w:hint="eastAsia"/>
                <w:sz w:val="32"/>
                <w:szCs w:val="32"/>
              </w:rPr>
              <w:t>政府信息公开</w:t>
            </w:r>
            <w:r>
              <w:rPr>
                <w:rFonts w:ascii="黑体" w:eastAsia="黑体" w:hAnsi="黑体" w:cs="黑体" w:hint="eastAsia"/>
                <w:sz w:val="32"/>
                <w:szCs w:val="32"/>
                <w:lang w:eastAsia="zh-CN"/>
              </w:rPr>
              <w:t>选项</w:t>
            </w:r>
            <w:r>
              <w:rPr>
                <w:rFonts w:hint="eastAsia"/>
                <w:sz w:val="32"/>
                <w:szCs w:val="32"/>
              </w:rPr>
              <w:t>：</w:t>
            </w:r>
            <w:r>
              <w:rPr>
                <w:rFonts w:ascii="仿宋_GB2312" w:eastAsia="仿宋_GB2312" w:hAnsi="仿宋_GB2312" w:cs="仿宋_GB2312" w:hint="eastAsia"/>
                <w:sz w:val="32"/>
                <w:szCs w:val="28"/>
              </w:rPr>
              <w:t>主动公开</w:t>
            </w:r>
          </w:p>
        </w:tc>
      </w:tr>
      <w:tr>
        <w:tblPrEx>
          <w:tblW w:w="8680" w:type="dxa"/>
          <w:tblInd w:w="0" w:type="dxa"/>
          <w:tblLayout w:type="fixed"/>
          <w:tblCellMar>
            <w:top w:w="0" w:type="dxa"/>
            <w:left w:w="108" w:type="dxa"/>
            <w:bottom w:w="0" w:type="dxa"/>
            <w:right w:w="108" w:type="dxa"/>
          </w:tblCellMar>
        </w:tblPrEx>
        <w:trPr>
          <w:trHeight w:val="534"/>
        </w:trPr>
        <w:tc>
          <w:tcPr>
            <w:tcW w:w="4340" w:type="dxa"/>
            <w:tcBorders>
              <w:top w:val="single" w:sz="12" w:space="0" w:color="auto"/>
              <w:bottom w:val="single" w:sz="12" w:space="0" w:color="auto"/>
            </w:tcBorders>
            <w:vAlign w:val="top"/>
          </w:tcPr>
          <w:p>
            <w:pPr>
              <w:ind w:firstLine="210" w:firstLineChars="100"/>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柳州市市场监督管理局办公室</w:t>
            </w:r>
          </w:p>
        </w:tc>
        <w:tc>
          <w:tcPr>
            <w:tcW w:w="4340" w:type="dxa"/>
            <w:tcBorders>
              <w:top w:val="single" w:sz="12" w:space="0" w:color="auto"/>
              <w:bottom w:val="single" w:sz="12" w:space="0" w:color="auto"/>
            </w:tcBorders>
            <w:vAlign w:val="top"/>
          </w:tcPr>
          <w:p>
            <w:pPr>
              <w:ind w:left="0" w:firstLine="1004" w:leftChars="0" w:firstLineChars="478"/>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202</w:t>
            </w:r>
            <w:r>
              <w:rPr>
                <w:rFonts w:ascii="仿宋_GB2312" w:eastAsia="仿宋_GB2312" w:hAnsi="仿宋_GB2312" w:cs="仿宋_GB2312" w:hint="eastAsia"/>
                <w:sz w:val="28"/>
                <w:szCs w:val="28"/>
                <w:lang w:val="en-US" w:eastAsia="zh-CN"/>
              </w:rPr>
              <w:t>1</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lang w:val="en-US" w:eastAsia="zh-CN"/>
              </w:rPr>
              <w:t>7</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lang w:val="en-US" w:eastAsia="zh-CN"/>
              </w:rPr>
              <w:t>16</w:t>
            </w:r>
            <w:r>
              <w:rPr>
                <w:rFonts w:ascii="仿宋_GB2312" w:eastAsia="仿宋_GB2312" w:hAnsi="仿宋_GB2312" w:cs="仿宋_GB2312" w:hint="eastAsia"/>
                <w:sz w:val="28"/>
                <w:szCs w:val="28"/>
              </w:rPr>
              <w:t>日印发</w:t>
            </w:r>
          </w:p>
        </w:tc>
      </w:tr>
    </w:tbl>
    <w:p>
      <w:pPr>
        <w:pStyle w:val="Default"/>
        <w:keepNext w:val="0"/>
        <w:keepLines w:val="0"/>
        <w:pageBreakBefore w:val="0"/>
        <w:widowControl w:val="0"/>
        <w:kinsoku/>
        <w:wordWrap/>
        <w:overflowPunct/>
        <w:topLinePunct w:val="0"/>
        <w:bidi w:val="0"/>
        <w:snapToGrid/>
        <w:spacing w:line="560" w:lineRule="exact"/>
        <w:ind w:right="0" w:rightChars="0"/>
        <w:jc w:val="both"/>
        <w:textAlignment w:val="auto"/>
        <w:outlineLvl w:val="9"/>
        <w:rPr>
          <w:rFonts w:ascii="楷体_GB2312" w:eastAsia="楷体_GB2312" w:hAnsi="楷体_GB2312" w:cs="楷体_GB2312" w:hint="eastAsia"/>
          <w:b w:val="0"/>
          <w:bCs w:val="0"/>
          <w:sz w:val="32"/>
          <w:szCs w:val="32"/>
          <w:lang w:val="en-US" w:eastAsia="zh-CN"/>
        </w:rPr>
      </w:pPr>
    </w:p>
    <w:sectPr>
      <w:pgSz w:w="11906" w:h="16838"/>
      <w:pgMar w:top="2098" w:right="1474" w:bottom="1984" w:left="1587" w:header="851" w:footer="992" w:gutter="0"/>
      <w:pgNumType w:fmt="numberInDash"/>
      <w:cols w:num="1" w:space="0"/>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eastAsia="宋体" w:hint="eastAsia"/>
                              <w:sz w:val="18"/>
                              <w:lang w:eastAsia="zh-CN"/>
                            </w:rPr>
                          </w:pPr>
                          <w:r>
                            <w:rPr>
                              <w:rFonts w:asciiTheme="minorEastAsia" w:eastAsiaTheme="minorEastAsia" w:hAnsiTheme="minorEastAsia" w:cstheme="minorEastAsia" w:hint="eastAsia"/>
                              <w:sz w:val="28"/>
                              <w:szCs w:val="28"/>
                              <w:lang w:eastAsia="zh-CN"/>
                            </w:rPr>
                            <w:fldChar w:fldCharType="begin"/>
                          </w:r>
                          <w:r>
                            <w:rPr>
                              <w:rFonts w:asciiTheme="minorEastAsia" w:eastAsiaTheme="minorEastAsia" w:hAnsiTheme="minorEastAsia" w:cstheme="minorEastAsia" w:hint="eastAsia"/>
                              <w:sz w:val="28"/>
                              <w:szCs w:val="28"/>
                              <w:lang w:eastAsia="zh-CN"/>
                            </w:rPr>
                            <w:instrText xml:space="preserve"> PAGE  \* MERGEFORMAT </w:instrText>
                          </w:r>
                          <w:r>
                            <w:rPr>
                              <w:rFonts w:asciiTheme="minorEastAsia" w:eastAsiaTheme="minorEastAsia" w:hAnsiTheme="minorEastAsia" w:cstheme="minorEastAsia" w:hint="eastAsia"/>
                              <w:sz w:val="28"/>
                              <w:szCs w:val="28"/>
                              <w:lang w:eastAsia="zh-CN"/>
                            </w:rPr>
                            <w:fldChar w:fldCharType="separate"/>
                          </w:r>
                          <w:r>
                            <w:rPr>
                              <w:rFonts w:asciiTheme="minorEastAsia" w:eastAsiaTheme="minorEastAsia" w:hAnsiTheme="minorEastAsia" w:cstheme="minorEastAsia" w:hint="eastAsia"/>
                              <w:sz w:val="28"/>
                              <w:szCs w:val="28"/>
                              <w:lang w:eastAsia="zh-CN"/>
                            </w:rPr>
                            <w:t>1</w:t>
                          </w:r>
                          <w:r>
                            <w:rPr>
                              <w:rFonts w:asciiTheme="minorEastAsia" w:eastAsiaTheme="minorEastAsia" w:hAnsiTheme="minorEastAsia" w:cstheme="minorEastAsia"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height:2in;margin-left:0;margin-top:0;mso-height-relative:page;mso-position-horizontal:outside;mso-position-horizontal-relative:margin;mso-width-relative:page;mso-wrap-style:none;position:absolute;width:2in;z-index:251660288" coordsize="21600,21600" filled="f" stroked="f">
              <o:lock v:ext="edit" aspectratio="f"/>
              <v:textbox style="mso-fit-shape-to-text:t" inset="0,0,0,0">
                <w:txbxContent>
                  <w:p>
                    <w:pPr>
                      <w:snapToGrid w:val="0"/>
                      <w:rPr>
                        <w:rFonts w:eastAsia="宋体" w:hint="eastAsia"/>
                        <w:sz w:val="18"/>
                        <w:lang w:eastAsia="zh-CN"/>
                      </w:rPr>
                    </w:pPr>
                    <w:r>
                      <w:rPr>
                        <w:rFonts w:asciiTheme="minorEastAsia" w:eastAsiaTheme="minorEastAsia" w:hAnsiTheme="minorEastAsia" w:cstheme="minorEastAsia" w:hint="eastAsia"/>
                        <w:sz w:val="28"/>
                        <w:szCs w:val="28"/>
                        <w:lang w:eastAsia="zh-CN"/>
                      </w:rPr>
                      <w:fldChar w:fldCharType="begin"/>
                    </w:r>
                    <w:r>
                      <w:rPr>
                        <w:rFonts w:asciiTheme="minorEastAsia" w:eastAsiaTheme="minorEastAsia" w:hAnsiTheme="minorEastAsia" w:cstheme="minorEastAsia" w:hint="eastAsia"/>
                        <w:sz w:val="28"/>
                        <w:szCs w:val="28"/>
                        <w:lang w:eastAsia="zh-CN"/>
                      </w:rPr>
                      <w:instrText xml:space="preserve"> PAGE  \* MERGEFORMAT </w:instrText>
                    </w:r>
                    <w:r>
                      <w:rPr>
                        <w:rFonts w:asciiTheme="minorEastAsia" w:eastAsiaTheme="minorEastAsia" w:hAnsiTheme="minorEastAsia" w:cstheme="minorEastAsia" w:hint="eastAsia"/>
                        <w:sz w:val="28"/>
                        <w:szCs w:val="28"/>
                        <w:lang w:eastAsia="zh-CN"/>
                      </w:rPr>
                      <w:fldChar w:fldCharType="separate"/>
                    </w:r>
                    <w:r>
                      <w:rPr>
                        <w:rFonts w:asciiTheme="minorEastAsia" w:eastAsiaTheme="minorEastAsia" w:hAnsiTheme="minorEastAsia" w:cstheme="minorEastAsia" w:hint="eastAsia"/>
                        <w:sz w:val="28"/>
                        <w:szCs w:val="28"/>
                        <w:lang w:eastAsia="zh-CN"/>
                      </w:rPr>
                      <w:t>1</w:t>
                    </w:r>
                    <w:r>
                      <w:rPr>
                        <w:rFonts w:asciiTheme="minorEastAsia" w:eastAsiaTheme="minorEastAsia" w:hAnsiTheme="minorEastAsia" w:cstheme="minorEastAsia" w:hint="eastAsia"/>
                        <w:sz w:val="28"/>
                        <w:szCs w:val="28"/>
                        <w:lang w:eastAsia="zh-CN"/>
                      </w:rPr>
                      <w:fldChar w:fldCharType="end"/>
                    </w:r>
                  </w:p>
                </w:txbxContent>
              </v:textbox>
              <w10:wrap anchorx="margin"/>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202" coordsize="21600,21600" o:spt="202" path="m,l,21600r21600,l21600,xe">
          <v:stroke joinstyle="miter"/>
          <v:path gradientshapeok="t" o:connecttype="rect"/>
        </v:shapetype>
        <v:shape id="ImpTraceLabel" o:spid="_x0000_s2050" type="#_x0000_t202" style="height:0;margin-left:0;margin-top:0;mso-position-horizontal-relative:page;mso-position-vertical-relative:page;position:absolute;width:0;z-index:251659264" filled="f" stroked="f">
          <v:path strokeok="f" textboxrect="0,0,21600,21600"/>
          <v:textbox>
            <w:txbxContent>
              <w:p>
                <w:r>
                  <w:t>ImpTraceLabel=PD94bWwgdmVyc2lvbj0nMS4wJyBlbmNvZGluZz0nVVRGLTgnPz48dHJhY2U+PGNvbnRlbnQ+PC9jb250ZW50PjxhY2NvdW50Pmw3aWFrZGR6Z2wxeDdycHhkcGpjN2Q8L2FjY291bnQ+PG1hY2hpbmVDb2RlPkxDVDg5NkowMDk0MTkKPC9tYWNoaW5lQ29kZT48dGltZT4yMDI2LTA4LTAzIDE3OjQ5OjEwPC90aW1lPjxzeXN0ZW0+TUI8c3lzdGVtPjwvdHJhY2U+</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0857D29"/>
    <w:multiLevelType w:val="singleLevel"/>
    <w:tmpl w:val="60857D29"/>
    <w:lvl w:ilvl="0">
      <w:start w:val="1"/>
      <w:numFmt w:val="chineseCounting"/>
      <w:suff w:val="nothing"/>
      <w:lvlText w:val="（%1）"/>
      <w:lvlJc w:val="left"/>
      <w:pPr>
        <w:ind w:left="-10"/>
      </w:pPr>
    </w:lvl>
  </w:abstractNum>
  <w:abstractNum w:abstractNumId="1">
    <w:nsid w:val="60B498ED"/>
    <w:multiLevelType w:val="singleLevel"/>
    <w:tmpl w:val="60B498ED"/>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Heading3"/>
    <w:qFormat/>
    <w:pPr>
      <w:widowControl w:val="0"/>
      <w:jc w:val="both"/>
    </w:pPr>
    <w:rPr>
      <w:rFonts w:ascii="Times New Roman" w:eastAsia="宋体" w:hAnsi="Times New Roman" w:cs="Times New Roman"/>
      <w:kern w:val="2"/>
      <w:sz w:val="21"/>
      <w:szCs w:val="22"/>
      <w:lang w:val="en-US" w:eastAsia="zh-CN" w:bidi="ar-SA"/>
    </w:rPr>
  </w:style>
  <w:style w:type="paragraph" w:styleId="Heading3">
    <w:name w:val="heading 3"/>
    <w:basedOn w:val="Normal"/>
    <w:next w:val="Normal"/>
    <w:unhideWhenUsed/>
    <w:qFormat/>
    <w:pPr>
      <w:keepNext/>
      <w:keepLines/>
      <w:spacing w:before="260" w:after="260" w:line="416" w:lineRule="auto"/>
      <w:outlineLvl w:val="2"/>
    </w:pPr>
    <w:rPr>
      <w:b/>
      <w:bCs/>
      <w:szCs w:val="32"/>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pPr>
      <w:widowControl w:val="0"/>
      <w:autoSpaceDE w:val="0"/>
      <w:autoSpaceDN w:val="0"/>
      <w:adjustRightInd w:val="0"/>
    </w:pPr>
    <w:rPr>
      <w:rFonts w:ascii="仿宋_GB2312" w:eastAsia="仿宋_GB2312" w:hAnsi="Times New Roman" w:cs="仿宋_GB2312"/>
      <w:color w:val="000000"/>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311</Words>
  <Characters>318</Characters>
  <Application>Microsoft Office Word</Application>
  <DocSecurity>0</DocSecurity>
  <Lines>0</Lines>
  <Paragraphs>0</Paragraphs>
  <ScaleCrop>false</ScaleCrop>
  <Company/>
  <LinksUpToDate>false</LinksUpToDate>
  <CharactersWithSpaces>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阿土伯</dc:creator>
  <cp:lastModifiedBy>海断清风</cp:lastModifiedBy>
  <cp:revision>1</cp:revision>
  <dcterms:created xsi:type="dcterms:W3CDTF">2021-07-12T01:37:00Z</dcterms:created>
  <dcterms:modified xsi:type="dcterms:W3CDTF">2026-07-23T01:56:38Z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33C1B108615D4375A1966027CDF24BCD_12</vt:lpwstr>
  </property>
  <property fmtid="{D5CDD505-2E9C-101B-9397-08002B2CF9AE}" pid="3" name="KSOProductBuildVer">
    <vt:lpwstr>2052-12.1.0.26895</vt:lpwstr>
  </property>
  <property fmtid="{D5CDD505-2E9C-101B-9397-08002B2CF9AE}" pid="4" name="KSOTemplateDocerSaveRecord">
    <vt:lpwstr>eyJoZGlkIjoiN2E3ZWE1NmJjM2Y5YmQzZWE5NjliMDA1NzUyY2MwY2QiLCJ1c2VySWQiOiIxMDE3NTE2MjU4In0=</vt:lpwstr>
  </property>
</Properties>
</file>