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9ED63">
      <w:pPr>
        <w:spacing w:line="480" w:lineRule="auto"/>
        <w:ind w:right="280" w:firstLine="890"/>
        <w:jc w:val="center"/>
        <w:rPr>
          <w:rFonts w:ascii="黑体" w:hAnsi="宋体" w:eastAsia="黑体"/>
          <w:sz w:val="32"/>
          <w:szCs w:val="32"/>
        </w:rPr>
      </w:pPr>
      <w:r>
        <w:rPr>
          <w:rFonts w:hint="eastAsia" w:ascii="黑体" w:hAnsi="宋体" w:eastAsia="黑体"/>
          <w:sz w:val="32"/>
          <w:szCs w:val="32"/>
        </w:rPr>
        <w:t>2026年预应力产品质量柳州市监督抽查实施细则</w:t>
      </w:r>
    </w:p>
    <w:p w14:paraId="287251ED">
      <w:pPr>
        <w:snapToGrid w:val="0"/>
        <w:spacing w:line="440" w:lineRule="exact"/>
        <w:rPr>
          <w:rFonts w:ascii="黑体" w:hAnsi="宋体" w:eastAsia="黑体"/>
          <w:szCs w:val="21"/>
        </w:rPr>
      </w:pPr>
    </w:p>
    <w:p w14:paraId="62243E08">
      <w:pPr>
        <w:snapToGrid w:val="0"/>
        <w:spacing w:line="440" w:lineRule="exact"/>
        <w:rPr>
          <w:rFonts w:ascii="黑体" w:hAnsi="宋体" w:eastAsia="黑体"/>
          <w:szCs w:val="21"/>
        </w:rPr>
      </w:pPr>
      <w:r>
        <w:rPr>
          <w:rFonts w:hint="eastAsia" w:ascii="黑体" w:hAnsi="宋体" w:eastAsia="黑体"/>
          <w:szCs w:val="21"/>
        </w:rPr>
        <w:t>1 范围</w:t>
      </w:r>
    </w:p>
    <w:p w14:paraId="60A36675">
      <w:pPr>
        <w:snapToGrid w:val="0"/>
        <w:spacing w:line="440" w:lineRule="exact"/>
        <w:ind w:firstLine="420" w:firstLineChars="200"/>
        <w:rPr>
          <w:rFonts w:ascii="黑体" w:hAnsi="黑体" w:eastAsia="黑体"/>
          <w:szCs w:val="21"/>
        </w:rPr>
      </w:pPr>
      <w:r>
        <w:rPr>
          <w:rFonts w:ascii="宋体" w:hAnsi="宋体"/>
          <w:kern w:val="0"/>
          <w:szCs w:val="21"/>
        </w:rPr>
        <w:t>本细则适用于</w:t>
      </w:r>
      <w:r>
        <w:rPr>
          <w:rFonts w:hint="eastAsia" w:ascii="宋体" w:hAnsi="宋体"/>
          <w:kern w:val="0"/>
          <w:szCs w:val="21"/>
        </w:rPr>
        <w:t>预应力筋用锚具</w:t>
      </w:r>
      <w:r>
        <w:rPr>
          <w:rFonts w:ascii="宋体" w:hAnsi="宋体"/>
          <w:kern w:val="0"/>
          <w:szCs w:val="21"/>
        </w:rPr>
        <w:t>产品质量</w:t>
      </w:r>
      <w:r>
        <w:rPr>
          <w:rFonts w:hint="eastAsia" w:ascii="宋体" w:hAnsi="宋体"/>
          <w:kern w:val="0"/>
          <w:szCs w:val="21"/>
        </w:rPr>
        <w:t>柳州市</w:t>
      </w:r>
      <w:r>
        <w:rPr>
          <w:rFonts w:ascii="宋体" w:hAnsi="宋体"/>
          <w:kern w:val="0"/>
          <w:szCs w:val="21"/>
        </w:rPr>
        <w:t>监督抽查</w:t>
      </w:r>
      <w:r>
        <w:rPr>
          <w:rFonts w:hint="eastAsia" w:ascii="宋体" w:hAnsi="宋体"/>
          <w:szCs w:val="21"/>
        </w:rPr>
        <w:t>，其他市场监管部门组织的及针对特殊情况的监督抽查可参考本细则执行。</w:t>
      </w:r>
      <w:r>
        <w:rPr>
          <w:rFonts w:hint="eastAsia" w:ascii="宋体" w:hAnsi="宋体" w:cs="Sim Sun"/>
          <w:kern w:val="0"/>
          <w:szCs w:val="21"/>
        </w:rPr>
        <w:t>监督抽查产品范围为</w:t>
      </w:r>
      <w:r>
        <w:rPr>
          <w:rFonts w:hint="eastAsia" w:ascii="宋体" w:hAnsi="宋体"/>
          <w:kern w:val="0"/>
          <w:szCs w:val="21"/>
        </w:rPr>
        <w:t>预应力筋用锚具</w:t>
      </w:r>
      <w:r>
        <w:rPr>
          <w:rFonts w:hint="eastAsia" w:ascii="宋体" w:hAnsi="宋体" w:cs="Sim Sun"/>
          <w:kern w:val="0"/>
          <w:szCs w:val="21"/>
        </w:rPr>
        <w:t>。本细则内容包括产品种类、术语和定义、检验依据、抽样、检验要求、判定原则、异议处理。</w:t>
      </w:r>
    </w:p>
    <w:p w14:paraId="42557469">
      <w:pPr>
        <w:snapToGrid w:val="0"/>
        <w:spacing w:line="440" w:lineRule="exact"/>
        <w:rPr>
          <w:rFonts w:ascii="黑体" w:hAnsi="黑体" w:eastAsia="黑体"/>
          <w:szCs w:val="21"/>
        </w:rPr>
      </w:pPr>
      <w:r>
        <w:rPr>
          <w:rFonts w:hint="eastAsia" w:ascii="黑体" w:hAnsi="黑体" w:eastAsia="黑体"/>
          <w:szCs w:val="21"/>
        </w:rPr>
        <w:t>2　产品种类</w:t>
      </w:r>
    </w:p>
    <w:p w14:paraId="3E49E70F">
      <w:pPr>
        <w:snapToGrid w:val="0"/>
        <w:spacing w:line="440" w:lineRule="exact"/>
        <w:ind w:firstLine="420" w:firstLineChars="200"/>
        <w:rPr>
          <w:rFonts w:ascii="黑体" w:hAnsi="黑体" w:eastAsia="黑体"/>
          <w:szCs w:val="21"/>
        </w:rPr>
      </w:pPr>
      <w:r>
        <w:rPr>
          <w:rFonts w:hint="eastAsia" w:ascii="宋体" w:hAnsi="宋体"/>
          <w:kern w:val="0"/>
          <w:szCs w:val="21"/>
        </w:rPr>
        <w:t>预应力筋用锚具。</w:t>
      </w:r>
    </w:p>
    <w:p w14:paraId="4A0CC2DA">
      <w:pPr>
        <w:snapToGrid w:val="0"/>
        <w:spacing w:line="440" w:lineRule="exact"/>
        <w:rPr>
          <w:rFonts w:ascii="黑体" w:hAnsi="黑体" w:eastAsia="黑体"/>
          <w:szCs w:val="21"/>
        </w:rPr>
      </w:pPr>
      <w:r>
        <w:rPr>
          <w:rFonts w:hint="eastAsia" w:ascii="黑体" w:hAnsi="黑体" w:eastAsia="黑体"/>
          <w:szCs w:val="21"/>
        </w:rPr>
        <w:t>3　术语和定义</w:t>
      </w:r>
    </w:p>
    <w:p w14:paraId="1FE917BA">
      <w:pPr>
        <w:snapToGrid w:val="0"/>
        <w:spacing w:line="440" w:lineRule="exact"/>
        <w:ind w:firstLine="411" w:firstLineChars="196"/>
        <w:rPr>
          <w:rFonts w:ascii="宋体" w:hAnsi="宋体"/>
          <w:b/>
          <w:szCs w:val="21"/>
        </w:rPr>
      </w:pPr>
      <w:r>
        <w:rPr>
          <w:rFonts w:hint="eastAsia" w:ascii="宋体" w:hAnsi="宋体"/>
          <w:szCs w:val="21"/>
        </w:rPr>
        <w:t>下列术语和定义适用于本细则。</w:t>
      </w:r>
    </w:p>
    <w:p w14:paraId="4FB0D7FB">
      <w:pPr>
        <w:snapToGrid w:val="0"/>
        <w:spacing w:line="440" w:lineRule="exact"/>
        <w:rPr>
          <w:rFonts w:ascii="黑体" w:hAnsi="黑体" w:eastAsia="黑体"/>
          <w:szCs w:val="21"/>
        </w:rPr>
      </w:pPr>
      <w:r>
        <w:rPr>
          <w:rFonts w:hint="eastAsia" w:ascii="黑体" w:hAnsi="黑体" w:eastAsia="黑体"/>
          <w:szCs w:val="21"/>
        </w:rPr>
        <w:t>3.1　预应力筋</w:t>
      </w:r>
    </w:p>
    <w:p w14:paraId="635209C0">
      <w:pPr>
        <w:snapToGrid w:val="0"/>
        <w:spacing w:line="440" w:lineRule="exact"/>
        <w:ind w:firstLine="420"/>
        <w:rPr>
          <w:rFonts w:ascii="宋体" w:hAnsi="宋体"/>
          <w:szCs w:val="21"/>
        </w:rPr>
      </w:pPr>
      <w:r>
        <w:rPr>
          <w:rFonts w:hint="eastAsia" w:ascii="宋体" w:hAnsi="宋体"/>
          <w:szCs w:val="21"/>
        </w:rPr>
        <w:t>用于建立预加应力的单根或成束的预应力钢材或纤维增强复合材料筋等受拉元件。</w:t>
      </w:r>
    </w:p>
    <w:p w14:paraId="43BB0417">
      <w:pPr>
        <w:snapToGrid w:val="0"/>
        <w:spacing w:line="440" w:lineRule="exact"/>
        <w:rPr>
          <w:rFonts w:ascii="黑体" w:hAnsi="黑体" w:eastAsia="黑体"/>
          <w:szCs w:val="21"/>
        </w:rPr>
      </w:pPr>
      <w:r>
        <w:rPr>
          <w:rFonts w:hint="eastAsia" w:ascii="黑体" w:hAnsi="黑体" w:eastAsia="黑体"/>
          <w:szCs w:val="21"/>
        </w:rPr>
        <w:t>3.2　锚具</w:t>
      </w:r>
    </w:p>
    <w:p w14:paraId="457C80D5">
      <w:pPr>
        <w:snapToGrid w:val="0"/>
        <w:spacing w:line="440" w:lineRule="exact"/>
        <w:ind w:firstLine="405"/>
        <w:rPr>
          <w:rFonts w:ascii="宋体" w:hAnsi="宋体"/>
          <w:szCs w:val="21"/>
        </w:rPr>
      </w:pPr>
      <w:r>
        <w:rPr>
          <w:rFonts w:hint="eastAsia" w:ascii="宋体" w:hAnsi="宋体"/>
          <w:szCs w:val="21"/>
        </w:rPr>
        <w:t>用于保持预应力筋的拉力并将其传递到结构上所用的永久性锚固装置。</w:t>
      </w:r>
    </w:p>
    <w:p w14:paraId="0C84CE69">
      <w:pPr>
        <w:snapToGrid w:val="0"/>
        <w:spacing w:line="440" w:lineRule="exact"/>
        <w:rPr>
          <w:rFonts w:ascii="黑体" w:hAnsi="黑体" w:eastAsia="黑体"/>
          <w:szCs w:val="21"/>
        </w:rPr>
      </w:pPr>
      <w:r>
        <w:rPr>
          <w:rFonts w:hint="eastAsia" w:ascii="黑体" w:hAnsi="黑体" w:eastAsia="黑体"/>
          <w:szCs w:val="21"/>
        </w:rPr>
        <w:t>4　检验依据</w:t>
      </w:r>
    </w:p>
    <w:p w14:paraId="54072524">
      <w:pPr>
        <w:snapToGrid w:val="0"/>
        <w:spacing w:line="440" w:lineRule="exact"/>
        <w:ind w:firstLine="420" w:firstLineChars="200"/>
        <w:rPr>
          <w:rFonts w:ascii="宋体" w:hAnsi="宋体"/>
          <w:szCs w:val="21"/>
        </w:rPr>
      </w:pPr>
      <w:bookmarkStart w:id="0" w:name="OLE_LINK2"/>
      <w:r>
        <w:rPr>
          <w:rFonts w:hint="eastAsia" w:ascii="宋体" w:hAnsi="宋体"/>
          <w:szCs w:val="21"/>
        </w:rPr>
        <w:t>凡是注日期的文件，其随后所有的修改单（不包括勘误的内容）或修订版不适用于本细则。凡是不注日期的引用文件，其最新版本适用于本细则。</w:t>
      </w:r>
    </w:p>
    <w:p w14:paraId="0CDC6D7D">
      <w:pPr>
        <w:snapToGrid w:val="0"/>
        <w:spacing w:line="440" w:lineRule="exact"/>
        <w:ind w:firstLine="420" w:firstLineChars="200"/>
        <w:rPr>
          <w:rFonts w:ascii="宋体" w:hAnsi="宋体"/>
          <w:szCs w:val="21"/>
        </w:rPr>
      </w:pPr>
      <w:r>
        <w:rPr>
          <w:rFonts w:hint="eastAsia" w:ascii="宋体" w:hAnsi="宋体"/>
          <w:szCs w:val="21"/>
        </w:rPr>
        <w:t>GB/T 14370-2015   预应力筋用锚具、夹具和连接器</w:t>
      </w:r>
    </w:p>
    <w:p w14:paraId="112CFBD8">
      <w:pPr>
        <w:snapToGrid w:val="0"/>
        <w:spacing w:line="440" w:lineRule="exact"/>
        <w:ind w:firstLine="420" w:firstLineChars="200"/>
        <w:rPr>
          <w:rFonts w:ascii="宋体" w:hAnsi="宋体"/>
          <w:szCs w:val="21"/>
        </w:rPr>
      </w:pPr>
      <w:r>
        <w:rPr>
          <w:rFonts w:hint="eastAsia" w:ascii="宋体" w:hAnsi="宋体"/>
          <w:szCs w:val="21"/>
        </w:rPr>
        <w:t>相关的法律法规、部门规章和规范</w:t>
      </w:r>
    </w:p>
    <w:bookmarkEnd w:id="0"/>
    <w:p w14:paraId="3489D6DB">
      <w:pPr>
        <w:autoSpaceDE w:val="0"/>
        <w:autoSpaceDN w:val="0"/>
        <w:adjustRightInd w:val="0"/>
        <w:spacing w:line="440" w:lineRule="exact"/>
        <w:ind w:right="148" w:firstLine="420" w:firstLineChars="200"/>
        <w:jc w:val="left"/>
        <w:rPr>
          <w:rFonts w:ascii="宋体" w:hAnsi="宋体"/>
          <w:szCs w:val="21"/>
        </w:rPr>
      </w:pPr>
      <w:r>
        <w:rPr>
          <w:rFonts w:hint="eastAsia" w:ascii="宋体" w:hAnsi="宋体"/>
          <w:szCs w:val="21"/>
        </w:rPr>
        <w:t>已经在全国企业标准信息公共服务平台自我声明公开或备案有效期内现行有效的企业标准及产品明示质量要求。</w:t>
      </w:r>
    </w:p>
    <w:p w14:paraId="5C6D283E">
      <w:pPr>
        <w:snapToGrid w:val="0"/>
        <w:spacing w:line="440" w:lineRule="exact"/>
        <w:rPr>
          <w:rFonts w:ascii="黑体" w:hAnsi="黑体" w:eastAsia="黑体"/>
          <w:szCs w:val="21"/>
        </w:rPr>
      </w:pPr>
      <w:r>
        <w:rPr>
          <w:rFonts w:hint="eastAsia" w:ascii="黑体" w:hAnsi="黑体" w:eastAsia="黑体"/>
          <w:szCs w:val="21"/>
        </w:rPr>
        <w:t>5　抽样</w:t>
      </w:r>
    </w:p>
    <w:p w14:paraId="2820A981">
      <w:pPr>
        <w:snapToGrid w:val="0"/>
        <w:spacing w:line="440" w:lineRule="exact"/>
        <w:rPr>
          <w:rFonts w:ascii="黑体" w:hAnsi="黑体" w:eastAsia="黑体"/>
          <w:szCs w:val="21"/>
        </w:rPr>
      </w:pPr>
      <w:r>
        <w:rPr>
          <w:rFonts w:hint="eastAsia" w:ascii="黑体" w:hAnsi="黑体" w:eastAsia="黑体"/>
          <w:szCs w:val="21"/>
        </w:rPr>
        <w:t>5.1　抽样型号或规格</w:t>
      </w:r>
    </w:p>
    <w:p w14:paraId="73BB888E">
      <w:pPr>
        <w:snapToGrid w:val="0"/>
        <w:spacing w:line="440" w:lineRule="exact"/>
        <w:ind w:firstLine="420" w:firstLineChars="200"/>
        <w:rPr>
          <w:rFonts w:ascii="宋体" w:hAnsi="宋体"/>
          <w:szCs w:val="21"/>
        </w:rPr>
      </w:pPr>
      <w:r>
        <w:rPr>
          <w:rFonts w:hint="eastAsia" w:ascii="宋体" w:hAnsi="宋体"/>
          <w:szCs w:val="21"/>
        </w:rPr>
        <w:t>抽取样品应为同一型号规格、同一批次的产品。</w:t>
      </w:r>
    </w:p>
    <w:p w14:paraId="6DC8E319">
      <w:pPr>
        <w:snapToGrid w:val="0"/>
        <w:spacing w:line="440" w:lineRule="exact"/>
        <w:ind w:firstLine="420" w:firstLineChars="200"/>
        <w:rPr>
          <w:rFonts w:ascii="宋体" w:hAnsi="宋体"/>
          <w:szCs w:val="21"/>
        </w:rPr>
      </w:pPr>
      <w:r>
        <w:rPr>
          <w:rFonts w:hint="eastAsia" w:ascii="宋体" w:hAnsi="宋体"/>
          <w:szCs w:val="21"/>
        </w:rPr>
        <w:t>优先抽取符合产品标准规定的主要规格或生产量较大的规格。</w:t>
      </w:r>
    </w:p>
    <w:p w14:paraId="4ACC4F35">
      <w:pPr>
        <w:spacing w:line="440" w:lineRule="exact"/>
        <w:rPr>
          <w:rFonts w:ascii="黑体" w:hAnsi="黑体" w:eastAsia="黑体"/>
          <w:szCs w:val="21"/>
        </w:rPr>
      </w:pPr>
      <w:r>
        <w:rPr>
          <w:rFonts w:hint="eastAsia" w:ascii="黑体" w:hAnsi="黑体" w:eastAsia="黑体"/>
          <w:szCs w:val="21"/>
        </w:rPr>
        <w:t>5.2 抽样方法、基数、数量及注意事项</w:t>
      </w:r>
    </w:p>
    <w:p w14:paraId="159D1E64">
      <w:pPr>
        <w:snapToGrid w:val="0"/>
        <w:spacing w:line="440" w:lineRule="exact"/>
        <w:jc w:val="left"/>
        <w:rPr>
          <w:rFonts w:ascii="黑体" w:hAnsi="黑体" w:eastAsia="黑体"/>
          <w:szCs w:val="21"/>
        </w:rPr>
      </w:pPr>
      <w:r>
        <w:rPr>
          <w:rFonts w:hint="eastAsia" w:ascii="黑体" w:hAnsi="黑体" w:eastAsia="黑体"/>
          <w:szCs w:val="21"/>
        </w:rPr>
        <w:t>5.2.1 抽样方法</w:t>
      </w:r>
    </w:p>
    <w:p w14:paraId="3A3A1F23">
      <w:pPr>
        <w:spacing w:line="440" w:lineRule="exact"/>
        <w:ind w:firstLine="420" w:firstLineChars="200"/>
        <w:rPr>
          <w:rFonts w:ascii="宋体" w:hAnsi="宋体"/>
          <w:szCs w:val="21"/>
        </w:rPr>
      </w:pPr>
      <w:r>
        <w:rPr>
          <w:rFonts w:hint="eastAsia" w:ascii="宋体" w:hAnsi="宋体"/>
          <w:szCs w:val="21"/>
        </w:rPr>
        <w:t>在生产企业的成品库内或市场待销产品中随机抽取有产品质量检验合格证明或者以其他形式表明合格的产品。随机数一般可使用随机数表、骰子或扑克牌等方法产生。</w:t>
      </w:r>
    </w:p>
    <w:p w14:paraId="24E46D96">
      <w:pPr>
        <w:snapToGrid w:val="0"/>
        <w:spacing w:line="440" w:lineRule="exact"/>
        <w:jc w:val="left"/>
        <w:rPr>
          <w:rFonts w:ascii="黑体" w:hAnsi="黑体" w:eastAsia="黑体"/>
          <w:szCs w:val="21"/>
        </w:rPr>
      </w:pPr>
      <w:r>
        <w:rPr>
          <w:rFonts w:hint="eastAsia" w:ascii="黑体" w:hAnsi="黑体" w:eastAsia="黑体"/>
          <w:szCs w:val="21"/>
        </w:rPr>
        <w:t>5.2.2 抽样基数</w:t>
      </w:r>
    </w:p>
    <w:p w14:paraId="71271BAE">
      <w:pPr>
        <w:snapToGrid w:val="0"/>
        <w:spacing w:line="440" w:lineRule="exact"/>
        <w:ind w:firstLine="420" w:firstLineChars="200"/>
        <w:jc w:val="left"/>
        <w:rPr>
          <w:szCs w:val="21"/>
        </w:rPr>
      </w:pPr>
      <w:r>
        <w:rPr>
          <w:rFonts w:hint="eastAsia"/>
          <w:szCs w:val="21"/>
        </w:rPr>
        <w:t>在生产企业或市场监督抽查同一批次产品的抽样基数满足抽样数量即可。</w:t>
      </w:r>
    </w:p>
    <w:p w14:paraId="4BD82D27">
      <w:pPr>
        <w:snapToGrid w:val="0"/>
        <w:spacing w:line="440" w:lineRule="exact"/>
        <w:jc w:val="left"/>
        <w:rPr>
          <w:rFonts w:ascii="黑体" w:hAnsi="黑体" w:eastAsia="黑体"/>
          <w:szCs w:val="21"/>
        </w:rPr>
      </w:pPr>
      <w:r>
        <w:rPr>
          <w:rFonts w:hint="eastAsia" w:ascii="黑体" w:hAnsi="黑体" w:eastAsia="黑体"/>
          <w:szCs w:val="21"/>
        </w:rPr>
        <w:t>5.2.3 抽样数量</w:t>
      </w:r>
    </w:p>
    <w:p w14:paraId="3FFCEA3D">
      <w:pPr>
        <w:snapToGrid w:val="0"/>
        <w:spacing w:line="440" w:lineRule="exact"/>
        <w:jc w:val="left"/>
        <w:rPr>
          <w:rFonts w:ascii="宋体" w:hAnsi="宋体"/>
          <w:szCs w:val="21"/>
        </w:rPr>
      </w:pPr>
      <w:r>
        <w:rPr>
          <w:rFonts w:hint="eastAsia" w:ascii="宋体" w:hAnsi="宋体"/>
          <w:szCs w:val="21"/>
        </w:rPr>
        <w:t xml:space="preserve">    在生产企业抽样时，样品应为同规格（型号）、同批次的产品。静载试验用的锚具按成套产品抽样，每种规格抽取36件（套），其中18件（套）检验样品送检验机构；18件（套）备用样品封存于企业。</w:t>
      </w:r>
      <w:r>
        <w:rPr>
          <w:rFonts w:hint="eastAsia" w:ascii="宋体" w:hAnsi="宋体"/>
          <w:color w:val="000000"/>
          <w:szCs w:val="21"/>
        </w:rPr>
        <w:t>在市场上抽样时，抽取样品量要求与企业成品库抽样时相同。</w:t>
      </w:r>
    </w:p>
    <w:p w14:paraId="3AEC35C0">
      <w:pPr>
        <w:snapToGrid w:val="0"/>
        <w:spacing w:line="440" w:lineRule="exact"/>
        <w:ind w:firstLine="420" w:firstLineChars="200"/>
        <w:rPr>
          <w:rFonts w:ascii="宋体" w:hAnsi="宋体"/>
          <w:szCs w:val="21"/>
        </w:rPr>
      </w:pPr>
      <w:r>
        <w:rPr>
          <w:rFonts w:hint="eastAsia" w:ascii="宋体" w:hAnsi="宋体"/>
          <w:szCs w:val="21"/>
        </w:rPr>
        <w:t>一件（套）锚具是指一个工作锚板配上与其孔数相对应的工作夹片。</w:t>
      </w:r>
    </w:p>
    <w:p w14:paraId="5CA0AC98">
      <w:pPr>
        <w:snapToGrid w:val="0"/>
        <w:spacing w:line="440" w:lineRule="exact"/>
        <w:rPr>
          <w:rFonts w:ascii="黑体" w:hAnsi="黑体" w:eastAsia="黑体"/>
          <w:color w:val="000000"/>
          <w:szCs w:val="21"/>
        </w:rPr>
      </w:pPr>
      <w:r>
        <w:rPr>
          <w:rFonts w:hint="eastAsia" w:ascii="黑体" w:hAnsi="黑体" w:eastAsia="黑体"/>
          <w:color w:val="000000"/>
          <w:szCs w:val="21"/>
        </w:rPr>
        <w:t>5.2.4 抽样注意事项</w:t>
      </w:r>
    </w:p>
    <w:p w14:paraId="663D9722">
      <w:pPr>
        <w:snapToGrid w:val="0"/>
        <w:spacing w:line="480" w:lineRule="exact"/>
        <w:ind w:firstLine="420" w:firstLineChars="200"/>
        <w:rPr>
          <w:rFonts w:ascii="宋体" w:hAnsi="宋体"/>
          <w:szCs w:val="21"/>
        </w:rPr>
      </w:pPr>
      <w:r>
        <w:rPr>
          <w:rFonts w:hint="eastAsia" w:ascii="宋体" w:hAnsi="宋体"/>
          <w:szCs w:val="21"/>
        </w:rPr>
        <w:t>抽样人员应当购买检验样品。购买检验样品的价格以销售产品的标价为准；没有标价的，以同类产品的市场价格为准。</w:t>
      </w:r>
    </w:p>
    <w:p w14:paraId="0353C1A1">
      <w:pPr>
        <w:snapToGrid w:val="0"/>
        <w:spacing w:line="480" w:lineRule="exact"/>
        <w:ind w:firstLine="420" w:firstLineChars="200"/>
        <w:rPr>
          <w:rFonts w:ascii="宋体" w:hAnsi="宋体"/>
          <w:szCs w:val="21"/>
        </w:rPr>
      </w:pPr>
      <w:r>
        <w:rPr>
          <w:rFonts w:hint="eastAsia" w:ascii="宋体" w:hAnsi="宋体"/>
          <w:szCs w:val="21"/>
        </w:rPr>
        <w:t>抽样人员应当使用规定的抽样文书记录抽样信息，并对抽样场所、贮存环境、被抽样产品的标识、库存数量、抽样过程等通过拍照或者录像的方式留存证据。</w:t>
      </w:r>
    </w:p>
    <w:p w14:paraId="36975234">
      <w:pPr>
        <w:snapToGrid w:val="0"/>
        <w:spacing w:line="480" w:lineRule="exact"/>
        <w:ind w:firstLine="420" w:firstLineChars="200"/>
        <w:rPr>
          <w:rFonts w:ascii="宋体" w:hAnsi="宋体"/>
          <w:szCs w:val="21"/>
        </w:rPr>
      </w:pPr>
      <w:r>
        <w:rPr>
          <w:rFonts w:hint="eastAsia" w:ascii="宋体" w:hAnsi="宋体" w:cs="楷体_GB2312"/>
          <w:bCs/>
          <w:color w:val="000000"/>
          <w:kern w:val="0"/>
          <w:szCs w:val="21"/>
          <w:lang w:val="zh-CN"/>
        </w:rPr>
        <w:t>抽样人员应在加贴封条前后对抽取的样品进行拍照。样品加贴封条前，对产品外观、外包装、产品标签、产品合格证等四个方面进行拍照，拍取的照片应能够清晰反映所抽样品的生产单位名称、</w:t>
      </w:r>
      <w:r>
        <w:rPr>
          <w:rFonts w:hint="eastAsia"/>
        </w:rPr>
        <w:t>样品名称、型号规格、抽样日期、执行标准等信息内容。</w:t>
      </w:r>
      <w:r>
        <w:rPr>
          <w:rFonts w:hint="eastAsia" w:ascii="宋体" w:hAnsi="宋体" w:cs="楷体_GB2312"/>
          <w:bCs/>
          <w:color w:val="000000"/>
          <w:kern w:val="0"/>
          <w:szCs w:val="21"/>
          <w:lang w:val="zh-CN"/>
        </w:rPr>
        <w:t>样品加贴封条后，再对检验样品和备用样品分别进行拍照，拍取的照片应能够反映出样品加贴封条完好的全貌。</w:t>
      </w:r>
      <w:r>
        <w:rPr>
          <w:rFonts w:hint="eastAsia"/>
        </w:rPr>
        <w:t>照片由抽样人员传送至检验机构，检验机构出具检验报告时应将样品照片（外观、外包装、产品标签、产品合格证、加贴封条的样品等）纳入报告中。</w:t>
      </w:r>
    </w:p>
    <w:p w14:paraId="757240D8">
      <w:pPr>
        <w:autoSpaceDE w:val="0"/>
        <w:autoSpaceDN w:val="0"/>
        <w:adjustRightInd w:val="0"/>
        <w:spacing w:line="440" w:lineRule="exact"/>
        <w:jc w:val="left"/>
        <w:rPr>
          <w:rFonts w:ascii="黑体" w:hAnsi="黑体" w:eastAsia="黑体"/>
          <w:color w:val="000000"/>
          <w:szCs w:val="21"/>
        </w:rPr>
      </w:pPr>
      <w:r>
        <w:rPr>
          <w:rFonts w:hint="eastAsia" w:ascii="黑体" w:hAnsi="黑体" w:eastAsia="黑体"/>
          <w:color w:val="000000"/>
          <w:szCs w:val="21"/>
        </w:rPr>
        <w:t>5.3　样品处置</w:t>
      </w:r>
    </w:p>
    <w:p w14:paraId="514161D9">
      <w:pPr>
        <w:snapToGrid w:val="0"/>
        <w:spacing w:line="440" w:lineRule="exact"/>
        <w:rPr>
          <w:rFonts w:ascii="宋体" w:hAnsi="宋体"/>
          <w:color w:val="000000"/>
          <w:szCs w:val="21"/>
        </w:rPr>
      </w:pPr>
      <w:r>
        <w:rPr>
          <w:rFonts w:hint="eastAsia" w:ascii="黑体" w:hAnsi="黑体" w:eastAsia="黑体"/>
        </w:rPr>
        <w:t>5.3.1</w:t>
      </w:r>
      <w:r>
        <w:rPr>
          <w:rFonts w:hint="eastAsia"/>
        </w:rPr>
        <w:t>对检验样品和备用样品分别封样，并由抽样人员和被抽样生产者、销售者签字确认；</w:t>
      </w:r>
      <w:r>
        <w:rPr>
          <w:rFonts w:hint="eastAsia" w:ascii="宋体" w:hAnsi="宋体"/>
        </w:rPr>
        <w:t>封样时应当有防拆封措施，采用纸(木)箱等包装物封样时，</w:t>
      </w:r>
      <w:r>
        <w:rPr>
          <w:rFonts w:hint="eastAsia"/>
        </w:rPr>
        <w:t>先用封口胶把样品和包装物绑扎结实,纸质封条先贴在封口胶上,再缠在样品包装物的开口处</w:t>
      </w:r>
      <w:r>
        <w:rPr>
          <w:rFonts w:hint="eastAsia" w:ascii="宋体" w:hAnsi="宋体"/>
        </w:rPr>
        <w:t>。</w:t>
      </w:r>
      <w:r>
        <w:rPr>
          <w:rFonts w:hint="eastAsia" w:ascii="宋体" w:hAnsi="宋体"/>
          <w:color w:val="000000"/>
          <w:szCs w:val="21"/>
        </w:rPr>
        <w:t>封存样品妥善保管于生产单位或受检单位。</w:t>
      </w:r>
    </w:p>
    <w:p w14:paraId="090477FE">
      <w:pPr>
        <w:snapToGrid w:val="0"/>
        <w:spacing w:line="440" w:lineRule="exact"/>
        <w:rPr>
          <w:rFonts w:ascii="宋体" w:hAnsi="宋体"/>
          <w:szCs w:val="21"/>
        </w:rPr>
      </w:pPr>
      <w:r>
        <w:rPr>
          <w:rFonts w:hint="eastAsia" w:ascii="黑体" w:hAnsi="黑体" w:eastAsia="黑体"/>
          <w:color w:val="000000"/>
          <w:szCs w:val="21"/>
        </w:rPr>
        <w:t>5.3.2</w:t>
      </w:r>
      <w:r>
        <w:rPr>
          <w:rFonts w:hint="eastAsia" w:ascii="宋体" w:hAnsi="宋体"/>
          <w:color w:val="000000"/>
          <w:szCs w:val="21"/>
        </w:rPr>
        <w:t>检验样品由抽样人员携带或寄递至检验机构；</w:t>
      </w:r>
      <w:r>
        <w:rPr>
          <w:rFonts w:hint="eastAsia" w:ascii="宋体" w:hAnsi="宋体"/>
          <w:szCs w:val="21"/>
        </w:rPr>
        <w:t>应当采取有效措施，保证样品运输、贮存过程中</w:t>
      </w:r>
      <w:r>
        <w:rPr>
          <w:rFonts w:hint="eastAsia" w:ascii="宋体" w:hAnsi="宋体"/>
        </w:rPr>
        <w:t>不受重压、潮湿、雨淋、暴晒或与油及酸、碱等腐蚀性物质接触；</w:t>
      </w:r>
      <w:r>
        <w:rPr>
          <w:rFonts w:hint="eastAsia" w:ascii="宋体" w:hAnsi="宋体"/>
          <w:szCs w:val="21"/>
        </w:rPr>
        <w:t>同时，应确保封条不会破损。</w:t>
      </w:r>
    </w:p>
    <w:p w14:paraId="022F35C8">
      <w:pPr>
        <w:snapToGrid w:val="0"/>
        <w:spacing w:line="480" w:lineRule="exact"/>
        <w:rPr>
          <w:rFonts w:ascii="宋体" w:hAnsi="宋体"/>
        </w:rPr>
      </w:pPr>
      <w:r>
        <w:rPr>
          <w:rFonts w:hint="eastAsia" w:ascii="黑体" w:hAnsi="黑体" w:eastAsia="黑体"/>
          <w:szCs w:val="21"/>
        </w:rPr>
        <w:t>5.3.3</w:t>
      </w:r>
      <w:r>
        <w:rPr>
          <w:rFonts w:hint="eastAsia" w:ascii="宋体" w:hAnsi="宋体"/>
          <w:szCs w:val="21"/>
        </w:rPr>
        <w:t>备用样品及检验结束后的样品应妥善保存；应保证备用样品在整个保存期间签封完整无损。</w:t>
      </w:r>
    </w:p>
    <w:p w14:paraId="6E0894C2">
      <w:pPr>
        <w:snapToGrid w:val="0"/>
        <w:spacing w:line="440" w:lineRule="exact"/>
        <w:rPr>
          <w:rFonts w:ascii="黑体" w:hAnsi="黑体" w:eastAsia="黑体"/>
          <w:szCs w:val="21"/>
        </w:rPr>
      </w:pPr>
      <w:r>
        <w:rPr>
          <w:rFonts w:hint="eastAsia" w:ascii="黑体" w:hAnsi="黑体" w:eastAsia="黑体"/>
          <w:szCs w:val="21"/>
        </w:rPr>
        <w:t>5.4　抽样单</w:t>
      </w:r>
    </w:p>
    <w:p w14:paraId="7DDC02A2">
      <w:pPr>
        <w:pStyle w:val="12"/>
        <w:spacing w:line="440" w:lineRule="exact"/>
        <w:ind w:firstLine="0" w:firstLineChars="0"/>
        <w:rPr>
          <w:rFonts w:ascii="黑体" w:hAnsi="黑体" w:eastAsia="黑体"/>
          <w:color w:val="000000"/>
          <w:sz w:val="21"/>
          <w:szCs w:val="21"/>
        </w:rPr>
      </w:pPr>
      <w:r>
        <w:rPr>
          <w:rFonts w:hint="eastAsia" w:ascii="黑体" w:hAnsi="黑体" w:eastAsia="黑体"/>
          <w:color w:val="000000"/>
          <w:sz w:val="21"/>
          <w:szCs w:val="21"/>
        </w:rPr>
        <w:t>5.4.1生产领域</w:t>
      </w:r>
    </w:p>
    <w:p w14:paraId="1675B2D8">
      <w:pPr>
        <w:snapToGrid w:val="0"/>
        <w:spacing w:line="440" w:lineRule="exact"/>
        <w:ind w:firstLine="417" w:firstLineChars="199"/>
        <w:rPr>
          <w:rFonts w:ascii="宋体" w:hAnsi="宋体"/>
          <w:color w:val="000000"/>
          <w:szCs w:val="21"/>
        </w:rPr>
      </w:pPr>
      <w:r>
        <w:rPr>
          <w:rFonts w:hint="eastAsia" w:ascii="宋体" w:hAnsi="宋体"/>
          <w:color w:val="000000"/>
          <w:szCs w:val="21"/>
        </w:rPr>
        <w:t>应按有关规定填写抽样单，并记录被抽查产品及企业相关信息。同时记录被抽查企业上一年度营业收入（以万元计）；若企业上一年度未生产或销售，则记录本年度实际营业收入，并加以注明。对于产品检验所需的样品技术参数等信息，需要被抽查企业提供的，应在抽样现场获取，并经企业确认。</w:t>
      </w:r>
      <w:r>
        <w:rPr>
          <w:rFonts w:hint="eastAsia"/>
          <w:szCs w:val="21"/>
        </w:rPr>
        <w:t>抽样单需有抽样人及受检单位代表双方签字，或加盖受检单位公章。对特殊情况，双方签字盖手印确认即可。</w:t>
      </w:r>
    </w:p>
    <w:p w14:paraId="6C16F43E">
      <w:pPr>
        <w:pStyle w:val="12"/>
        <w:spacing w:line="440" w:lineRule="exact"/>
        <w:ind w:firstLine="0" w:firstLineChars="0"/>
        <w:rPr>
          <w:rFonts w:ascii="黑体" w:hAnsi="黑体" w:eastAsia="黑体"/>
          <w:color w:val="000000"/>
          <w:sz w:val="21"/>
          <w:szCs w:val="21"/>
        </w:rPr>
      </w:pPr>
      <w:r>
        <w:rPr>
          <w:rFonts w:hint="eastAsia" w:ascii="黑体" w:hAnsi="黑体" w:eastAsia="黑体"/>
          <w:color w:val="000000"/>
          <w:sz w:val="21"/>
          <w:szCs w:val="21"/>
        </w:rPr>
        <w:t>5.4.2流通领域</w:t>
      </w:r>
    </w:p>
    <w:p w14:paraId="72754AF0">
      <w:pPr>
        <w:snapToGrid w:val="0"/>
        <w:spacing w:line="480" w:lineRule="exact"/>
        <w:ind w:firstLine="420" w:firstLineChars="200"/>
        <w:rPr>
          <w:rFonts w:ascii="宋体" w:hAnsi="宋体"/>
          <w:color w:val="000000"/>
          <w:szCs w:val="21"/>
        </w:rPr>
      </w:pPr>
      <w:r>
        <w:rPr>
          <w:rFonts w:hint="eastAsia"/>
          <w:szCs w:val="21"/>
        </w:rPr>
        <w:t>应按有关规定填写抽样单，并记录被抽查产品及受检单位相关信息。同时记录被抽查受检单位</w:t>
      </w:r>
      <w:r>
        <w:rPr>
          <w:rFonts w:hint="eastAsia"/>
        </w:rPr>
        <w:t>所抽产品的进货量和库存量，以对应产品的单位计；记录被抽查企业所抽产品的销售单价（以元计）。对于产品检验所需的样品技术参数包括被抽查产品的依据标准等信息，需要受检单位提供的，应在抽样现场获取，并经生产企业确认。</w:t>
      </w:r>
      <w:r>
        <w:rPr>
          <w:rFonts w:hint="eastAsia"/>
          <w:szCs w:val="21"/>
        </w:rPr>
        <w:t>抽样单需有抽样人及企业人员双方签字，或加盖受检单位公章。对特殊情况，双方签字盖手印确认即可。</w:t>
      </w:r>
    </w:p>
    <w:p w14:paraId="38EB2DDE">
      <w:pPr>
        <w:snapToGrid w:val="0"/>
        <w:spacing w:line="440" w:lineRule="exact"/>
        <w:rPr>
          <w:rFonts w:ascii="黑体" w:hAnsi="黑体" w:eastAsia="黑体"/>
          <w:szCs w:val="21"/>
        </w:rPr>
      </w:pPr>
      <w:r>
        <w:rPr>
          <w:rFonts w:hint="eastAsia" w:ascii="黑体" w:hAnsi="黑体" w:eastAsia="黑体"/>
          <w:szCs w:val="21"/>
        </w:rPr>
        <w:t>6　检验要求</w:t>
      </w:r>
    </w:p>
    <w:p w14:paraId="480DE301">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检验项目见表1。</w:t>
      </w:r>
    </w:p>
    <w:p w14:paraId="60D7E88E">
      <w:pPr>
        <w:tabs>
          <w:tab w:val="left" w:pos="1320"/>
        </w:tabs>
        <w:snapToGrid w:val="0"/>
        <w:spacing w:line="440" w:lineRule="exact"/>
        <w:jc w:val="center"/>
        <w:rPr>
          <w:rFonts w:ascii="黑体" w:hAnsi="黑体" w:eastAsia="黑体"/>
          <w:szCs w:val="21"/>
        </w:rPr>
      </w:pPr>
      <w:r>
        <w:rPr>
          <w:rFonts w:hint="eastAsia" w:ascii="黑体" w:hAnsi="黑体" w:eastAsia="黑体"/>
          <w:szCs w:val="21"/>
        </w:rPr>
        <w:t>表1 预应力筋用锚具检验项目表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785"/>
        <w:gridCol w:w="2786"/>
        <w:gridCol w:w="2786"/>
      </w:tblGrid>
      <w:tr w14:paraId="54FF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Pr>
          <w:p w14:paraId="4BD56465">
            <w:pPr>
              <w:tabs>
                <w:tab w:val="left" w:pos="1320"/>
              </w:tabs>
              <w:snapToGrid w:val="0"/>
              <w:spacing w:line="440" w:lineRule="exact"/>
              <w:jc w:val="center"/>
              <w:rPr>
                <w:rFonts w:ascii="宋体" w:hAnsi="宋体"/>
                <w:szCs w:val="21"/>
              </w:rPr>
            </w:pPr>
            <w:r>
              <w:rPr>
                <w:rFonts w:hint="eastAsia" w:ascii="宋体" w:hAnsi="宋体"/>
                <w:szCs w:val="21"/>
              </w:rPr>
              <w:t>序号</w:t>
            </w:r>
          </w:p>
        </w:tc>
        <w:tc>
          <w:tcPr>
            <w:tcW w:w="2785" w:type="dxa"/>
          </w:tcPr>
          <w:p w14:paraId="38E03646">
            <w:pPr>
              <w:tabs>
                <w:tab w:val="left" w:pos="1320"/>
              </w:tabs>
              <w:snapToGrid w:val="0"/>
              <w:spacing w:line="440" w:lineRule="exact"/>
              <w:jc w:val="center"/>
              <w:rPr>
                <w:rFonts w:ascii="宋体" w:hAnsi="宋体"/>
                <w:szCs w:val="21"/>
              </w:rPr>
            </w:pPr>
            <w:r>
              <w:rPr>
                <w:rFonts w:hint="eastAsia" w:ascii="宋体" w:hAnsi="宋体"/>
                <w:szCs w:val="21"/>
              </w:rPr>
              <w:t>检验项目</w:t>
            </w:r>
          </w:p>
        </w:tc>
        <w:tc>
          <w:tcPr>
            <w:tcW w:w="2786" w:type="dxa"/>
          </w:tcPr>
          <w:p w14:paraId="63BB7611">
            <w:pPr>
              <w:tabs>
                <w:tab w:val="left" w:pos="1320"/>
              </w:tabs>
              <w:snapToGrid w:val="0"/>
              <w:spacing w:line="440" w:lineRule="exact"/>
              <w:jc w:val="center"/>
              <w:rPr>
                <w:rFonts w:ascii="宋体" w:hAnsi="宋体"/>
                <w:szCs w:val="21"/>
              </w:rPr>
            </w:pPr>
            <w:r>
              <w:rPr>
                <w:rFonts w:hint="eastAsia" w:ascii="宋体" w:hAnsi="宋体"/>
                <w:szCs w:val="21"/>
              </w:rPr>
              <w:t>依据标准</w:t>
            </w:r>
          </w:p>
        </w:tc>
        <w:tc>
          <w:tcPr>
            <w:tcW w:w="2786" w:type="dxa"/>
          </w:tcPr>
          <w:p w14:paraId="28A5F455">
            <w:pPr>
              <w:tabs>
                <w:tab w:val="left" w:pos="1320"/>
              </w:tabs>
              <w:snapToGrid w:val="0"/>
              <w:spacing w:line="440" w:lineRule="exact"/>
              <w:jc w:val="center"/>
              <w:rPr>
                <w:rFonts w:ascii="宋体" w:hAnsi="宋体"/>
                <w:szCs w:val="21"/>
              </w:rPr>
            </w:pPr>
            <w:r>
              <w:rPr>
                <w:rFonts w:hint="eastAsia" w:ascii="宋体" w:hAnsi="宋体"/>
                <w:szCs w:val="21"/>
              </w:rPr>
              <w:t>检验方法</w:t>
            </w:r>
          </w:p>
        </w:tc>
      </w:tr>
      <w:tr w14:paraId="07AE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Pr>
          <w:p w14:paraId="589D7485">
            <w:pPr>
              <w:tabs>
                <w:tab w:val="left" w:pos="1320"/>
              </w:tabs>
              <w:snapToGrid w:val="0"/>
              <w:spacing w:line="440" w:lineRule="exact"/>
              <w:jc w:val="center"/>
              <w:rPr>
                <w:rFonts w:ascii="宋体" w:hAnsi="宋体"/>
                <w:szCs w:val="21"/>
              </w:rPr>
            </w:pPr>
            <w:r>
              <w:rPr>
                <w:rFonts w:hint="eastAsia" w:ascii="宋体" w:hAnsi="宋体"/>
                <w:szCs w:val="21"/>
              </w:rPr>
              <w:t>1</w:t>
            </w:r>
          </w:p>
        </w:tc>
        <w:tc>
          <w:tcPr>
            <w:tcW w:w="2785" w:type="dxa"/>
          </w:tcPr>
          <w:p w14:paraId="5C9EEA0C">
            <w:pPr>
              <w:adjustRightInd w:val="0"/>
              <w:snapToGrid w:val="0"/>
              <w:spacing w:line="440" w:lineRule="exact"/>
              <w:jc w:val="center"/>
              <w:rPr>
                <w:rFonts w:ascii="宋体" w:hAnsi="宋体"/>
                <w:szCs w:val="21"/>
              </w:rPr>
            </w:pPr>
            <w:r>
              <w:rPr>
                <w:rFonts w:hint="eastAsia" w:ascii="宋体" w:hAnsi="宋体"/>
                <w:szCs w:val="21"/>
              </w:rPr>
              <w:t>静载锚固性能</w:t>
            </w:r>
          </w:p>
        </w:tc>
        <w:tc>
          <w:tcPr>
            <w:tcW w:w="2786" w:type="dxa"/>
          </w:tcPr>
          <w:p w14:paraId="275ACA8C">
            <w:pPr>
              <w:adjustRightInd w:val="0"/>
              <w:snapToGrid w:val="0"/>
              <w:spacing w:line="440" w:lineRule="exact"/>
              <w:jc w:val="center"/>
              <w:rPr>
                <w:rFonts w:ascii="宋体" w:hAnsi="宋体"/>
                <w:szCs w:val="21"/>
              </w:rPr>
            </w:pPr>
            <w:r>
              <w:rPr>
                <w:rFonts w:hint="eastAsia" w:ascii="宋体" w:hAnsi="宋体"/>
                <w:spacing w:val="-10"/>
                <w:szCs w:val="21"/>
              </w:rPr>
              <w:t>GB/T 14370-2015</w:t>
            </w:r>
          </w:p>
        </w:tc>
        <w:tc>
          <w:tcPr>
            <w:tcW w:w="2786" w:type="dxa"/>
          </w:tcPr>
          <w:p w14:paraId="102091B9">
            <w:pPr>
              <w:adjustRightInd w:val="0"/>
              <w:snapToGrid w:val="0"/>
              <w:spacing w:line="440" w:lineRule="exact"/>
              <w:jc w:val="center"/>
              <w:rPr>
                <w:rFonts w:ascii="宋体" w:hAnsi="宋体"/>
                <w:szCs w:val="21"/>
              </w:rPr>
            </w:pPr>
            <w:r>
              <w:rPr>
                <w:rFonts w:hint="eastAsia" w:ascii="宋体" w:hAnsi="宋体"/>
                <w:spacing w:val="-10"/>
                <w:szCs w:val="21"/>
              </w:rPr>
              <w:t>GB/T 14370-2015</w:t>
            </w:r>
          </w:p>
        </w:tc>
      </w:tr>
    </w:tbl>
    <w:p w14:paraId="133C0E06">
      <w:pPr>
        <w:tabs>
          <w:tab w:val="left" w:pos="1320"/>
        </w:tabs>
        <w:snapToGrid w:val="0"/>
        <w:spacing w:line="440" w:lineRule="exact"/>
        <w:ind w:firstLine="420" w:firstLineChars="200"/>
        <w:rPr>
          <w:rFonts w:ascii="宋体" w:hAnsi="宋体"/>
          <w:szCs w:val="21"/>
        </w:rPr>
      </w:pPr>
      <w:r>
        <w:rPr>
          <w:rFonts w:hint="eastAsia" w:ascii="宋体" w:hAnsi="宋体"/>
          <w:szCs w:val="21"/>
        </w:rPr>
        <w:t>注：执行行业标准、企业标准的产品，检验项目参照上表，按相应标准检验。</w:t>
      </w:r>
    </w:p>
    <w:p w14:paraId="73F0CBA7">
      <w:pPr>
        <w:snapToGrid w:val="0"/>
        <w:spacing w:line="440" w:lineRule="exact"/>
        <w:rPr>
          <w:rFonts w:ascii="黑体" w:hAnsi="黑体" w:eastAsia="黑体"/>
          <w:szCs w:val="21"/>
        </w:rPr>
      </w:pPr>
      <w:r>
        <w:rPr>
          <w:rFonts w:hint="eastAsia" w:ascii="黑体" w:hAnsi="黑体" w:eastAsia="黑体"/>
          <w:bCs/>
          <w:szCs w:val="21"/>
        </w:rPr>
        <w:t>7</w:t>
      </w:r>
      <w:r>
        <w:rPr>
          <w:rFonts w:hint="eastAsia" w:ascii="黑体" w:hAnsi="黑体" w:eastAsia="黑体"/>
          <w:szCs w:val="21"/>
        </w:rPr>
        <w:t>　判定原则</w:t>
      </w:r>
    </w:p>
    <w:p w14:paraId="4C57787B">
      <w:pPr>
        <w:snapToGrid w:val="0"/>
        <w:spacing w:line="48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563E858C">
      <w:pPr>
        <w:snapToGrid w:val="0"/>
        <w:spacing w:line="48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4AC4B98A">
      <w:pPr>
        <w:snapToGrid w:val="0"/>
        <w:spacing w:line="48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14:paraId="57CF92E4">
      <w:pPr>
        <w:snapToGrid w:val="0"/>
        <w:spacing w:line="48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080BF7D4">
      <w:pPr>
        <w:spacing w:line="480" w:lineRule="exact"/>
        <w:ind w:firstLine="420" w:firstLineChars="200"/>
        <w:jc w:val="left"/>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14:paraId="7FC7A3C9">
      <w:pPr>
        <w:snapToGrid w:val="0"/>
        <w:spacing w:line="480" w:lineRule="exact"/>
        <w:rPr>
          <w:rFonts w:ascii="宋体" w:hAnsi="宋体"/>
          <w:szCs w:val="21"/>
        </w:rPr>
      </w:pPr>
      <w:r>
        <w:rPr>
          <w:rFonts w:hint="eastAsia" w:ascii="黑体" w:hAnsi="黑体" w:eastAsia="黑体"/>
        </w:rPr>
        <w:t>7.</w:t>
      </w:r>
      <w:r>
        <w:rPr>
          <w:rFonts w:ascii="黑体" w:hAnsi="黑体" w:eastAsia="黑体"/>
        </w:rPr>
        <w:t>1</w:t>
      </w:r>
      <w:r>
        <w:rPr>
          <w:rFonts w:hint="eastAsia" w:ascii="宋体" w:hAnsi="宋体"/>
          <w:szCs w:val="21"/>
        </w:rPr>
        <w:t>当产品所检项目全部符合执行标准要求，检验报告中的检验结论表述为：“</w:t>
      </w:r>
      <w:r>
        <w:rPr>
          <w:rFonts w:hint="eastAsia" w:ascii="宋体" w:hAnsi="宋体"/>
          <w:iCs/>
          <w:color w:val="000000"/>
          <w:szCs w:val="21"/>
        </w:rPr>
        <w:t>依据xxxx〔xxxx〕</w:t>
      </w:r>
      <w:r>
        <w:rPr>
          <w:rFonts w:ascii="宋体" w:hAnsi="宋体"/>
          <w:iCs/>
          <w:color w:val="000000"/>
          <w:szCs w:val="21"/>
        </w:rPr>
        <w:t>xx</w:t>
      </w:r>
      <w:r>
        <w:rPr>
          <w:rFonts w:hint="eastAsia" w:ascii="宋体" w:hAnsi="宋体"/>
          <w:iCs/>
          <w:color w:val="000000"/>
          <w:szCs w:val="21"/>
        </w:rPr>
        <w:t>号文中</w:t>
      </w:r>
      <w:r>
        <w:rPr>
          <w:rFonts w:hint="eastAsia" w:ascii="宋体" w:hAnsi="宋体"/>
          <w:szCs w:val="21"/>
        </w:rPr>
        <w:t>《2026年</w:t>
      </w:r>
      <w:r>
        <w:rPr>
          <w:rFonts w:hint="eastAsia" w:ascii="宋体" w:hAnsi="宋体"/>
          <w:kern w:val="0"/>
          <w:szCs w:val="21"/>
        </w:rPr>
        <w:t>预应力筋用锚具</w:t>
      </w:r>
      <w:r>
        <w:rPr>
          <w:rFonts w:hint="eastAsia" w:ascii="宋体" w:hAnsi="宋体"/>
          <w:szCs w:val="21"/>
        </w:rPr>
        <w:t>产品质量柳州市监督抽查实施细则》要求，对所抽样品的xx个项目进行了检验，检验结果符合xx标准号《标准名称》要求。综合判定：该产品本次监督抽查合格”。</w:t>
      </w:r>
    </w:p>
    <w:p w14:paraId="034B7A89">
      <w:pPr>
        <w:spacing w:line="440" w:lineRule="exact"/>
        <w:rPr>
          <w:rFonts w:ascii="宋体" w:hAnsi="宋体"/>
        </w:rPr>
      </w:pPr>
      <w:r>
        <w:rPr>
          <w:rFonts w:hint="eastAsia" w:ascii="黑体" w:hAnsi="黑体" w:eastAsia="黑体"/>
        </w:rPr>
        <w:t>7.2</w:t>
      </w:r>
      <w:r>
        <w:rPr>
          <w:rFonts w:hint="eastAsia" w:ascii="宋体" w:hAnsi="宋体"/>
          <w:iCs/>
          <w:szCs w:val="21"/>
        </w:rPr>
        <w:t>当所检项目有一项或一项以上不符合执行标准要求，</w:t>
      </w:r>
      <w:r>
        <w:rPr>
          <w:rFonts w:hint="eastAsia" w:ascii="宋体" w:hAnsi="宋体"/>
          <w:szCs w:val="21"/>
        </w:rPr>
        <w:t>检验报告中的检验结论表述为：“</w:t>
      </w:r>
      <w:r>
        <w:rPr>
          <w:rFonts w:hint="eastAsia" w:ascii="宋体" w:hAnsi="宋体"/>
          <w:iCs/>
          <w:color w:val="000000"/>
          <w:szCs w:val="21"/>
        </w:rPr>
        <w:t>依据xxxx〔xxxx〕</w:t>
      </w:r>
      <w:r>
        <w:rPr>
          <w:rFonts w:ascii="宋体" w:hAnsi="宋体"/>
          <w:iCs/>
          <w:color w:val="000000"/>
          <w:szCs w:val="21"/>
        </w:rPr>
        <w:t>xx</w:t>
      </w:r>
      <w:r>
        <w:rPr>
          <w:rFonts w:hint="eastAsia" w:ascii="宋体" w:hAnsi="宋体"/>
          <w:iCs/>
          <w:color w:val="000000"/>
          <w:szCs w:val="21"/>
        </w:rPr>
        <w:t>号文中</w:t>
      </w:r>
      <w:r>
        <w:rPr>
          <w:rFonts w:hint="eastAsia" w:ascii="宋体" w:hAnsi="宋体"/>
          <w:szCs w:val="21"/>
        </w:rPr>
        <w:t>《2026年</w:t>
      </w:r>
      <w:r>
        <w:rPr>
          <w:rFonts w:hint="eastAsia" w:ascii="宋体" w:hAnsi="宋体"/>
          <w:kern w:val="0"/>
          <w:szCs w:val="21"/>
        </w:rPr>
        <w:t>预应力筋用锚具</w:t>
      </w:r>
      <w:r>
        <w:rPr>
          <w:rFonts w:hint="eastAsia" w:ascii="宋体" w:hAnsi="宋体"/>
          <w:szCs w:val="21"/>
        </w:rPr>
        <w:t>产品质量柳州市监督抽查实施细则》要求，对所抽样品的xx个项目进行了检验，其中xx、xx项目的检验结果不符合xx标准号《标准名称》要求。综</w:t>
      </w:r>
      <w:bookmarkStart w:id="2" w:name="_GoBack"/>
      <w:bookmarkEnd w:id="2"/>
      <w:r>
        <w:rPr>
          <w:rFonts w:hint="eastAsia" w:ascii="宋体" w:hAnsi="宋体"/>
          <w:szCs w:val="21"/>
        </w:rPr>
        <w:t>合判定：该产品本次监督抽查不合格”。</w:t>
      </w:r>
    </w:p>
    <w:p w14:paraId="570A4869">
      <w:pPr>
        <w:snapToGrid w:val="0"/>
        <w:spacing w:line="480" w:lineRule="exact"/>
        <w:ind w:firstLine="420" w:firstLineChars="200"/>
        <w:rPr>
          <w:rFonts w:ascii="黑体" w:hAnsi="黑体" w:eastAsia="黑体"/>
          <w:szCs w:val="21"/>
        </w:rPr>
      </w:pPr>
      <w:r>
        <w:rPr>
          <w:rFonts w:hint="eastAsia" w:ascii="宋体" w:hAnsi="宋体"/>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强制性标准中的推荐性条款）时，在使用企业标准作出合格或不合格结论的同时，在“备注”栏中说明: 该产品本次监督抽查检验，xx项目不符合xx标准号《国家（行业、地方）标准名称》要求。</w:t>
      </w:r>
      <w:r>
        <w:rPr>
          <w:rFonts w:ascii="宋体" w:hAnsi="宋体"/>
        </w:rPr>
        <w:br w:type="textWrapping"/>
      </w:r>
      <w:r>
        <w:rPr>
          <w:rFonts w:hint="eastAsia" w:ascii="黑体" w:hAnsi="黑体" w:eastAsia="黑体"/>
          <w:szCs w:val="21"/>
        </w:rPr>
        <w:t>8　异议处理</w:t>
      </w:r>
    </w:p>
    <w:p w14:paraId="182F5BCE">
      <w:pPr>
        <w:widowControl/>
        <w:spacing w:line="440" w:lineRule="exact"/>
        <w:ind w:firstLine="420" w:firstLineChars="200"/>
        <w:jc w:val="left"/>
        <w:rPr>
          <w:rFonts w:ascii="宋体" w:hAnsi="宋体"/>
          <w:szCs w:val="21"/>
        </w:rPr>
      </w:pPr>
      <w:r>
        <w:rPr>
          <w:rFonts w:hint="eastAsia" w:ascii="宋体" w:hAnsi="宋体"/>
          <w:szCs w:val="21"/>
        </w:rPr>
        <w:t>对判定不合格产品进行复检时，按以下方式进行：</w:t>
      </w:r>
    </w:p>
    <w:p w14:paraId="0B17315E">
      <w:pPr>
        <w:widowControl/>
        <w:spacing w:line="440" w:lineRule="exact"/>
        <w:jc w:val="left"/>
        <w:rPr>
          <w:rFonts w:ascii="宋体" w:hAnsi="宋体"/>
          <w:szCs w:val="21"/>
        </w:rPr>
      </w:pPr>
      <w:r>
        <w:rPr>
          <w:rFonts w:hint="eastAsia" w:ascii="黑体" w:hAnsi="黑体" w:eastAsia="黑体"/>
          <w:szCs w:val="21"/>
        </w:rPr>
        <w:t>8.1</w:t>
      </w:r>
      <w:r>
        <w:rPr>
          <w:rFonts w:hint="eastAsia" w:ascii="宋体" w:hAnsi="宋体"/>
          <w:szCs w:val="21"/>
        </w:rPr>
        <w:t>核查不合格项目相关证据，能够以记录（纸质记录或电子记录或影像记录）或与不合格项目相关联的其它质量数据等检验证据证明，由监督抽查组织部门根据核查情况作出异议处理决定。</w:t>
      </w:r>
    </w:p>
    <w:p w14:paraId="34B16EB7">
      <w:pPr>
        <w:widowControl/>
        <w:spacing w:line="440" w:lineRule="exact"/>
        <w:jc w:val="left"/>
        <w:rPr>
          <w:rFonts w:ascii="宋体" w:hAnsi="宋体"/>
          <w:szCs w:val="21"/>
        </w:rPr>
      </w:pPr>
      <w:r>
        <w:rPr>
          <w:rFonts w:hint="eastAsia" w:ascii="黑体" w:hAnsi="黑体" w:eastAsia="黑体"/>
          <w:szCs w:val="21"/>
        </w:rPr>
        <w:t>8.2</w:t>
      </w:r>
      <w:r>
        <w:rPr>
          <w:rFonts w:hint="eastAsia" w:ascii="宋体" w:hAnsi="宋体"/>
          <w:szCs w:val="21"/>
        </w:rPr>
        <w:t>对需要复检并具备检验条件的，监督抽查组织部门按照《产品质量监督抽查管理暂行办法》要求组织复检机构对抽取的备用样品进行复检，并出具检验报告。复检结论为最终结论。</w:t>
      </w:r>
    </w:p>
    <w:p w14:paraId="67FEAE97">
      <w:bookmarkStart w:id="1" w:name="_Toc399166892"/>
    </w:p>
    <w:p w14:paraId="71FCD6DA"/>
    <w:p w14:paraId="1E8E3940"/>
    <w:p w14:paraId="24D4DECE"/>
    <w:p w14:paraId="4EEA9274"/>
    <w:p w14:paraId="14E8749D"/>
    <w:p w14:paraId="56ECDBAF"/>
    <w:p w14:paraId="445BFB0A"/>
    <w:p w14:paraId="016F8D0A"/>
    <w:p w14:paraId="74BB717C"/>
    <w:p w14:paraId="2993B4C5"/>
    <w:p w14:paraId="0103A596"/>
    <w:p w14:paraId="6F0185D3"/>
    <w:p w14:paraId="26ED5614"/>
    <w:p w14:paraId="57F6AC95"/>
    <w:p w14:paraId="15E3E808"/>
    <w:p w14:paraId="39D24B49"/>
    <w:p w14:paraId="69C043D9"/>
    <w:p w14:paraId="705AE2B6"/>
    <w:p w14:paraId="04AEFFA2"/>
    <w:p w14:paraId="69778537"/>
    <w:p w14:paraId="04C36133"/>
    <w:bookmarkEnd w:id="1"/>
    <w:p w14:paraId="18C249A0"/>
    <w:sectPr>
      <w:pgSz w:w="11906" w:h="16838"/>
      <w:pgMar w:top="1701" w:right="1474"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汉鼎简书宋二">
    <w:altName w:val="宋体"/>
    <w:panose1 w:val="00000000000000000000"/>
    <w:charset w:val="86"/>
    <w:family w:val="modern"/>
    <w:pitch w:val="default"/>
    <w:sig w:usb0="00000000" w:usb1="00000000" w:usb2="0000001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5213A"/>
    <w:multiLevelType w:val="multilevel"/>
    <w:tmpl w:val="1235213A"/>
    <w:lvl w:ilvl="0" w:tentative="0">
      <w:start w:val="6"/>
      <w:numFmt w:val="decimal"/>
      <w:lvlText w:val="%1"/>
      <w:lvlJc w:val="left"/>
      <w:pPr>
        <w:tabs>
          <w:tab w:val="left" w:pos="360"/>
        </w:tabs>
        <w:ind w:left="360" w:hanging="360"/>
      </w:pPr>
      <w:rPr>
        <w:rFonts w:hint="default"/>
        <w:color w:val="auto"/>
      </w:rPr>
    </w:lvl>
    <w:lvl w:ilvl="1" w:tentative="0">
      <w:start w:val="2"/>
      <w:numFmt w:val="decimal"/>
      <w:pStyle w:val="13"/>
      <w:lvlText w:val="%1.%2"/>
      <w:lvlJc w:val="left"/>
      <w:pPr>
        <w:tabs>
          <w:tab w:val="left" w:pos="570"/>
        </w:tabs>
        <w:ind w:left="570" w:hanging="360"/>
      </w:pPr>
      <w:rPr>
        <w:rFonts w:hint="default"/>
        <w:color w:val="auto"/>
      </w:rPr>
    </w:lvl>
    <w:lvl w:ilvl="2" w:tentative="0">
      <w:start w:val="1"/>
      <w:numFmt w:val="decimal"/>
      <w:lvlText w:val="%1.%2.%3"/>
      <w:lvlJc w:val="left"/>
      <w:pPr>
        <w:tabs>
          <w:tab w:val="left" w:pos="1140"/>
        </w:tabs>
        <w:ind w:left="1140" w:hanging="720"/>
      </w:pPr>
      <w:rPr>
        <w:rFonts w:hint="default"/>
        <w:color w:val="auto"/>
      </w:rPr>
    </w:lvl>
    <w:lvl w:ilvl="3" w:tentative="0">
      <w:start w:val="1"/>
      <w:numFmt w:val="decimal"/>
      <w:lvlText w:val="%1.%2.%3.%4"/>
      <w:lvlJc w:val="left"/>
      <w:pPr>
        <w:tabs>
          <w:tab w:val="left" w:pos="1710"/>
        </w:tabs>
        <w:ind w:left="1710" w:hanging="1080"/>
      </w:pPr>
      <w:rPr>
        <w:rFonts w:hint="default"/>
        <w:color w:val="auto"/>
      </w:rPr>
    </w:lvl>
    <w:lvl w:ilvl="4" w:tentative="0">
      <w:start w:val="1"/>
      <w:numFmt w:val="decimal"/>
      <w:lvlText w:val="%1.%2.%3.%4.%5"/>
      <w:lvlJc w:val="left"/>
      <w:pPr>
        <w:tabs>
          <w:tab w:val="left" w:pos="1920"/>
        </w:tabs>
        <w:ind w:left="1920" w:hanging="1080"/>
      </w:pPr>
      <w:rPr>
        <w:rFonts w:hint="default"/>
        <w:color w:val="auto"/>
      </w:rPr>
    </w:lvl>
    <w:lvl w:ilvl="5" w:tentative="0">
      <w:start w:val="1"/>
      <w:numFmt w:val="decimal"/>
      <w:lvlText w:val="%1.%2.%3.%4.%5.%6"/>
      <w:lvlJc w:val="left"/>
      <w:pPr>
        <w:tabs>
          <w:tab w:val="left" w:pos="2490"/>
        </w:tabs>
        <w:ind w:left="2490" w:hanging="1440"/>
      </w:pPr>
      <w:rPr>
        <w:rFonts w:hint="default"/>
        <w:color w:val="auto"/>
      </w:rPr>
    </w:lvl>
    <w:lvl w:ilvl="6" w:tentative="0">
      <w:start w:val="1"/>
      <w:numFmt w:val="decimal"/>
      <w:lvlText w:val="%1.%2.%3.%4.%5.%6.%7"/>
      <w:lvlJc w:val="left"/>
      <w:pPr>
        <w:tabs>
          <w:tab w:val="left" w:pos="2700"/>
        </w:tabs>
        <w:ind w:left="2700" w:hanging="1440"/>
      </w:pPr>
      <w:rPr>
        <w:rFonts w:hint="default"/>
        <w:color w:val="auto"/>
      </w:rPr>
    </w:lvl>
    <w:lvl w:ilvl="7" w:tentative="0">
      <w:start w:val="1"/>
      <w:numFmt w:val="decimal"/>
      <w:lvlText w:val="%1.%2.%3.%4.%5.%6.%7.%8"/>
      <w:lvlJc w:val="left"/>
      <w:pPr>
        <w:tabs>
          <w:tab w:val="left" w:pos="3270"/>
        </w:tabs>
        <w:ind w:left="3270" w:hanging="1800"/>
      </w:pPr>
      <w:rPr>
        <w:rFonts w:hint="default"/>
        <w:color w:val="auto"/>
      </w:rPr>
    </w:lvl>
    <w:lvl w:ilvl="8" w:tentative="0">
      <w:start w:val="1"/>
      <w:numFmt w:val="decimal"/>
      <w:lvlText w:val="%1.%2.%3.%4.%5.%6.%7.%8.%9"/>
      <w:lvlJc w:val="left"/>
      <w:pPr>
        <w:tabs>
          <w:tab w:val="left" w:pos="3480"/>
        </w:tabs>
        <w:ind w:left="3480" w:hanging="1800"/>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g1MDJmOWUyNmY3N2I0MjFmZDllZTg2NTJiYjQ4MzAifQ=="/>
  </w:docVars>
  <w:rsids>
    <w:rsidRoot w:val="009B233D"/>
    <w:rsid w:val="00006D28"/>
    <w:rsid w:val="0001634D"/>
    <w:rsid w:val="00031088"/>
    <w:rsid w:val="0003451F"/>
    <w:rsid w:val="00034AD9"/>
    <w:rsid w:val="0004058E"/>
    <w:rsid w:val="000576D9"/>
    <w:rsid w:val="000671A0"/>
    <w:rsid w:val="00080D99"/>
    <w:rsid w:val="000A4217"/>
    <w:rsid w:val="000B2357"/>
    <w:rsid w:val="000E1718"/>
    <w:rsid w:val="000F4156"/>
    <w:rsid w:val="0010146D"/>
    <w:rsid w:val="00102F0B"/>
    <w:rsid w:val="0010321F"/>
    <w:rsid w:val="00105245"/>
    <w:rsid w:val="00140ECA"/>
    <w:rsid w:val="00160300"/>
    <w:rsid w:val="0016549D"/>
    <w:rsid w:val="00166958"/>
    <w:rsid w:val="00170F38"/>
    <w:rsid w:val="001B27A1"/>
    <w:rsid w:val="001F7238"/>
    <w:rsid w:val="00211A77"/>
    <w:rsid w:val="00215C12"/>
    <w:rsid w:val="00217A42"/>
    <w:rsid w:val="00225EB4"/>
    <w:rsid w:val="00230DFC"/>
    <w:rsid w:val="002501D3"/>
    <w:rsid w:val="002572BB"/>
    <w:rsid w:val="00267829"/>
    <w:rsid w:val="00277F2D"/>
    <w:rsid w:val="00282184"/>
    <w:rsid w:val="002A408A"/>
    <w:rsid w:val="002B49B5"/>
    <w:rsid w:val="002B515C"/>
    <w:rsid w:val="002B7212"/>
    <w:rsid w:val="002C36CA"/>
    <w:rsid w:val="002C5424"/>
    <w:rsid w:val="002E128A"/>
    <w:rsid w:val="002E1F72"/>
    <w:rsid w:val="002E7450"/>
    <w:rsid w:val="002F0ABB"/>
    <w:rsid w:val="002F0FB6"/>
    <w:rsid w:val="002F2A11"/>
    <w:rsid w:val="003012DA"/>
    <w:rsid w:val="00313852"/>
    <w:rsid w:val="00315A2E"/>
    <w:rsid w:val="00315E21"/>
    <w:rsid w:val="00322340"/>
    <w:rsid w:val="0033164C"/>
    <w:rsid w:val="003427E6"/>
    <w:rsid w:val="00353238"/>
    <w:rsid w:val="0035537A"/>
    <w:rsid w:val="00372DE2"/>
    <w:rsid w:val="00376156"/>
    <w:rsid w:val="0038155A"/>
    <w:rsid w:val="003866E7"/>
    <w:rsid w:val="00395F41"/>
    <w:rsid w:val="003A7E84"/>
    <w:rsid w:val="003D7662"/>
    <w:rsid w:val="003E73F6"/>
    <w:rsid w:val="003F5ABE"/>
    <w:rsid w:val="004362D7"/>
    <w:rsid w:val="004701CD"/>
    <w:rsid w:val="00475DC9"/>
    <w:rsid w:val="004C3696"/>
    <w:rsid w:val="004E08F1"/>
    <w:rsid w:val="004F1245"/>
    <w:rsid w:val="00502B09"/>
    <w:rsid w:val="0050536F"/>
    <w:rsid w:val="00506B69"/>
    <w:rsid w:val="0052375F"/>
    <w:rsid w:val="00526802"/>
    <w:rsid w:val="00545398"/>
    <w:rsid w:val="00557A18"/>
    <w:rsid w:val="005701EF"/>
    <w:rsid w:val="00570B10"/>
    <w:rsid w:val="005951E3"/>
    <w:rsid w:val="005D2417"/>
    <w:rsid w:val="005D4A58"/>
    <w:rsid w:val="0061270A"/>
    <w:rsid w:val="00622802"/>
    <w:rsid w:val="00661C15"/>
    <w:rsid w:val="00663A06"/>
    <w:rsid w:val="00670AC0"/>
    <w:rsid w:val="006847E0"/>
    <w:rsid w:val="006904F6"/>
    <w:rsid w:val="006A2B12"/>
    <w:rsid w:val="006B4884"/>
    <w:rsid w:val="006B6430"/>
    <w:rsid w:val="006C3C8A"/>
    <w:rsid w:val="006E57F4"/>
    <w:rsid w:val="006F1EFA"/>
    <w:rsid w:val="006F535A"/>
    <w:rsid w:val="00703E05"/>
    <w:rsid w:val="007168D2"/>
    <w:rsid w:val="007444E7"/>
    <w:rsid w:val="0074749B"/>
    <w:rsid w:val="00753CF0"/>
    <w:rsid w:val="00764A51"/>
    <w:rsid w:val="0077007E"/>
    <w:rsid w:val="00771DAF"/>
    <w:rsid w:val="00791E85"/>
    <w:rsid w:val="007A1A2A"/>
    <w:rsid w:val="007C0768"/>
    <w:rsid w:val="007C6BAF"/>
    <w:rsid w:val="007D54CD"/>
    <w:rsid w:val="007D589A"/>
    <w:rsid w:val="0081714A"/>
    <w:rsid w:val="0081790D"/>
    <w:rsid w:val="00822EE2"/>
    <w:rsid w:val="0082779F"/>
    <w:rsid w:val="00831A63"/>
    <w:rsid w:val="008563DA"/>
    <w:rsid w:val="00856760"/>
    <w:rsid w:val="00860FB0"/>
    <w:rsid w:val="008611B7"/>
    <w:rsid w:val="00864316"/>
    <w:rsid w:val="00877803"/>
    <w:rsid w:val="00882BF5"/>
    <w:rsid w:val="00883238"/>
    <w:rsid w:val="00887D32"/>
    <w:rsid w:val="00887D50"/>
    <w:rsid w:val="008A2459"/>
    <w:rsid w:val="008A5C14"/>
    <w:rsid w:val="008F5EDE"/>
    <w:rsid w:val="00903ACF"/>
    <w:rsid w:val="00905CE8"/>
    <w:rsid w:val="00942746"/>
    <w:rsid w:val="00966056"/>
    <w:rsid w:val="009711D0"/>
    <w:rsid w:val="0097796B"/>
    <w:rsid w:val="009819A8"/>
    <w:rsid w:val="0098452B"/>
    <w:rsid w:val="00984F76"/>
    <w:rsid w:val="009976CE"/>
    <w:rsid w:val="009B233D"/>
    <w:rsid w:val="009C4866"/>
    <w:rsid w:val="009D71CD"/>
    <w:rsid w:val="009E0567"/>
    <w:rsid w:val="009E45C9"/>
    <w:rsid w:val="00A0401F"/>
    <w:rsid w:val="00A05F53"/>
    <w:rsid w:val="00A16366"/>
    <w:rsid w:val="00A24B60"/>
    <w:rsid w:val="00A30239"/>
    <w:rsid w:val="00A322D6"/>
    <w:rsid w:val="00A3491B"/>
    <w:rsid w:val="00A36F37"/>
    <w:rsid w:val="00A60707"/>
    <w:rsid w:val="00A62166"/>
    <w:rsid w:val="00A66F25"/>
    <w:rsid w:val="00A6752C"/>
    <w:rsid w:val="00A85BE1"/>
    <w:rsid w:val="00A91BE6"/>
    <w:rsid w:val="00AB5769"/>
    <w:rsid w:val="00AC5B57"/>
    <w:rsid w:val="00AF0408"/>
    <w:rsid w:val="00AF1E87"/>
    <w:rsid w:val="00AF5E26"/>
    <w:rsid w:val="00B03B20"/>
    <w:rsid w:val="00B322C7"/>
    <w:rsid w:val="00B346CC"/>
    <w:rsid w:val="00B35C51"/>
    <w:rsid w:val="00B4543A"/>
    <w:rsid w:val="00B60302"/>
    <w:rsid w:val="00B62B58"/>
    <w:rsid w:val="00B63260"/>
    <w:rsid w:val="00B729E3"/>
    <w:rsid w:val="00B800C5"/>
    <w:rsid w:val="00B80FF7"/>
    <w:rsid w:val="00B92835"/>
    <w:rsid w:val="00BA6A19"/>
    <w:rsid w:val="00BA7677"/>
    <w:rsid w:val="00BC2C3B"/>
    <w:rsid w:val="00BC7212"/>
    <w:rsid w:val="00BD0A04"/>
    <w:rsid w:val="00BE0CEB"/>
    <w:rsid w:val="00BE1F4F"/>
    <w:rsid w:val="00BE72DC"/>
    <w:rsid w:val="00C170F7"/>
    <w:rsid w:val="00C422B1"/>
    <w:rsid w:val="00C42ABF"/>
    <w:rsid w:val="00C628C3"/>
    <w:rsid w:val="00C65608"/>
    <w:rsid w:val="00C67C54"/>
    <w:rsid w:val="00C71A7B"/>
    <w:rsid w:val="00C73B55"/>
    <w:rsid w:val="00C74086"/>
    <w:rsid w:val="00C94288"/>
    <w:rsid w:val="00CA7A76"/>
    <w:rsid w:val="00CA7F50"/>
    <w:rsid w:val="00CC094E"/>
    <w:rsid w:val="00CD3048"/>
    <w:rsid w:val="00D0105B"/>
    <w:rsid w:val="00D05412"/>
    <w:rsid w:val="00D4179E"/>
    <w:rsid w:val="00D52323"/>
    <w:rsid w:val="00D651A3"/>
    <w:rsid w:val="00D6549A"/>
    <w:rsid w:val="00D67736"/>
    <w:rsid w:val="00D67D0C"/>
    <w:rsid w:val="00D86EDF"/>
    <w:rsid w:val="00D9506D"/>
    <w:rsid w:val="00DA3539"/>
    <w:rsid w:val="00DA4931"/>
    <w:rsid w:val="00DB2984"/>
    <w:rsid w:val="00DF017E"/>
    <w:rsid w:val="00DF5F61"/>
    <w:rsid w:val="00DF6AD9"/>
    <w:rsid w:val="00E03AAF"/>
    <w:rsid w:val="00E055F0"/>
    <w:rsid w:val="00E424F1"/>
    <w:rsid w:val="00E43CEB"/>
    <w:rsid w:val="00E464F9"/>
    <w:rsid w:val="00E54C6B"/>
    <w:rsid w:val="00E55A0B"/>
    <w:rsid w:val="00E56873"/>
    <w:rsid w:val="00E62EF9"/>
    <w:rsid w:val="00E704E1"/>
    <w:rsid w:val="00E83CF7"/>
    <w:rsid w:val="00E83FA1"/>
    <w:rsid w:val="00E91608"/>
    <w:rsid w:val="00E92FDB"/>
    <w:rsid w:val="00E92FE5"/>
    <w:rsid w:val="00E93D03"/>
    <w:rsid w:val="00E957B4"/>
    <w:rsid w:val="00E97465"/>
    <w:rsid w:val="00EA1613"/>
    <w:rsid w:val="00EB1D99"/>
    <w:rsid w:val="00EF4E62"/>
    <w:rsid w:val="00F00D48"/>
    <w:rsid w:val="00F03E5C"/>
    <w:rsid w:val="00F21E82"/>
    <w:rsid w:val="00F27BF0"/>
    <w:rsid w:val="00F32439"/>
    <w:rsid w:val="00F33FF2"/>
    <w:rsid w:val="00F34694"/>
    <w:rsid w:val="00F517D1"/>
    <w:rsid w:val="00F5197B"/>
    <w:rsid w:val="00F57CB8"/>
    <w:rsid w:val="00F66F4E"/>
    <w:rsid w:val="00FA1792"/>
    <w:rsid w:val="00FC03AF"/>
    <w:rsid w:val="00FC6A2D"/>
    <w:rsid w:val="00FE4D99"/>
    <w:rsid w:val="00FF204E"/>
    <w:rsid w:val="00FF3640"/>
    <w:rsid w:val="02B95284"/>
    <w:rsid w:val="057C5A03"/>
    <w:rsid w:val="1D40633E"/>
    <w:rsid w:val="1D8F1E47"/>
    <w:rsid w:val="2151658E"/>
    <w:rsid w:val="21DE25E9"/>
    <w:rsid w:val="2DDA7CB4"/>
    <w:rsid w:val="31E429B9"/>
    <w:rsid w:val="353C13FB"/>
    <w:rsid w:val="37BF3BE6"/>
    <w:rsid w:val="3B851508"/>
    <w:rsid w:val="48AA16F0"/>
    <w:rsid w:val="669A6009"/>
    <w:rsid w:val="721D40C2"/>
    <w:rsid w:val="792F580D"/>
    <w:rsid w:val="7C960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0">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1">
    <w:name w:val="段 Char"/>
    <w:link w:val="12"/>
    <w:qFormat/>
    <w:uiPriority w:val="0"/>
    <w:rPr>
      <w:rFonts w:ascii="宋体"/>
      <w:lang w:val="en-US" w:eastAsia="zh-CN" w:bidi="ar-SA"/>
    </w:rPr>
  </w:style>
  <w:style w:type="paragraph" w:customStyle="1" w:styleId="12">
    <w:name w:val="段"/>
    <w:link w:val="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paragraph" w:customStyle="1" w:styleId="13">
    <w:name w:val="一级条标题"/>
    <w:next w:val="1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A42D0-62D7-4E11-BF2D-03163D6A085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2714</Words>
  <Characters>2834</Characters>
  <Lines>20</Lines>
  <Paragraphs>5</Paragraphs>
  <TotalTime>2</TotalTime>
  <ScaleCrop>false</ScaleCrop>
  <LinksUpToDate>false</LinksUpToDate>
  <CharactersWithSpaces>2864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2023-02-10T08:16:00Z</dcterms:created>
  <dc:creator>微软用户</dc:creator>
  <cp:lastModifiedBy>聂锋</cp:lastModifiedBy>
  <dcterms:modified xsi:type="dcterms:W3CDTF">2026-05-13T08:13:29Z</dcterms:modified>
  <dc:title>2017年预应力产品质量广西监督抽查实施细则</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7184C8538102466AB7C5CE7DD9F42DBF_12</vt:lpwstr>
  </property>
  <property fmtid="{D5CDD505-2E9C-101B-9397-08002B2CF9AE}" pid="4" name="KSOTemplateDocerSaveRecord">
    <vt:lpwstr>eyJoZGlkIjoiZWQ0MzU0MmUzMDgxMDEwYTI5MjIyYWQ2ZjRmMzEyNTYiLCJ1c2VySWQiOiIzNjU2NjEyOTYifQ==</vt:lpwstr>
  </property>
</Properties>
</file>