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C263">
      <w:pPr>
        <w:spacing w:line="480" w:lineRule="exact"/>
        <w:jc w:val="center"/>
        <w:rPr>
          <w:rFonts w:ascii="黑体" w:hAnsi="黑体" w:eastAsia="黑体"/>
          <w:sz w:val="32"/>
          <w:szCs w:val="32"/>
        </w:rPr>
      </w:pPr>
      <w:bookmarkStart w:id="1" w:name="_GoBack"/>
      <w:r>
        <w:rPr>
          <w:rFonts w:hint="eastAsia" w:ascii="黑体" w:hAnsi="黑体" w:eastAsia="黑体"/>
          <w:sz w:val="32"/>
          <w:szCs w:val="32"/>
        </w:rPr>
        <w:t>2025年</w:t>
      </w:r>
      <w:r>
        <w:rPr>
          <w:rFonts w:hint="eastAsia" w:ascii="黑体" w:hAnsi="黑体" w:eastAsia="黑体"/>
          <w:sz w:val="32"/>
          <w:szCs w:val="32"/>
          <w:lang w:eastAsia="zh-CN"/>
        </w:rPr>
        <w:t>儿童游泳圈</w:t>
      </w:r>
      <w:r>
        <w:rPr>
          <w:rFonts w:hint="eastAsia" w:ascii="黑体" w:hAnsi="黑体" w:eastAsia="黑体"/>
          <w:sz w:val="32"/>
          <w:szCs w:val="32"/>
        </w:rPr>
        <w:t>产品质量柳州市监督抽查实施细则</w:t>
      </w:r>
    </w:p>
    <w:bookmarkEnd w:id="1"/>
    <w:p w14:paraId="1166DE1C">
      <w:pPr>
        <w:pStyle w:val="68"/>
        <w:numPr>
          <w:ilvl w:val="0"/>
          <w:numId w:val="0"/>
        </w:numPr>
        <w:spacing w:beforeLines="0" w:afterLines="0" w:line="480" w:lineRule="exact"/>
      </w:pPr>
      <w:bookmarkStart w:id="0" w:name="_Toc179596492"/>
    </w:p>
    <w:p w14:paraId="69079D9F">
      <w:pPr>
        <w:pStyle w:val="68"/>
        <w:numPr>
          <w:ilvl w:val="0"/>
          <w:numId w:val="0"/>
        </w:numPr>
        <w:spacing w:beforeLines="0" w:afterLines="0" w:line="480" w:lineRule="exact"/>
        <w:rPr>
          <w:color w:val="FF0000"/>
        </w:rPr>
      </w:pPr>
      <w:r>
        <w:rPr>
          <w:rFonts w:hint="eastAsia"/>
        </w:rPr>
        <w:t>1 范围</w:t>
      </w:r>
      <w:bookmarkEnd w:id="0"/>
    </w:p>
    <w:p w14:paraId="0CCF7393">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儿童游泳圈</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eastAsia="zh-CN"/>
        </w:rPr>
        <w:t>儿童游泳圈</w:t>
      </w:r>
      <w:r>
        <w:rPr>
          <w:rFonts w:hint="eastAsia" w:ascii="宋体" w:hAnsi="宋体" w:cs="Sim Sun"/>
          <w:kern w:val="0"/>
          <w:szCs w:val="21"/>
        </w:rPr>
        <w:t>。本细则内容包括产品种类、术语和定义、检验依据、抽样、检验要求、判定原则及异议处理。</w:t>
      </w:r>
    </w:p>
    <w:p w14:paraId="03A87BC8">
      <w:pPr>
        <w:spacing w:line="480" w:lineRule="exact"/>
        <w:ind w:firstLine="420" w:firstLineChars="200"/>
        <w:rPr>
          <w:rFonts w:ascii="宋体" w:hAnsi="宋体" w:cs="Sim Sun"/>
          <w:kern w:val="0"/>
          <w:szCs w:val="21"/>
        </w:rPr>
      </w:pPr>
    </w:p>
    <w:p w14:paraId="023C9765">
      <w:pPr>
        <w:pStyle w:val="68"/>
        <w:numPr>
          <w:ilvl w:val="0"/>
          <w:numId w:val="0"/>
        </w:numPr>
        <w:spacing w:beforeLines="0" w:afterLines="0" w:line="480" w:lineRule="exact"/>
      </w:pPr>
      <w:r>
        <w:rPr>
          <w:rFonts w:hint="eastAsia"/>
        </w:rPr>
        <w:t>2 产品种类</w:t>
      </w:r>
    </w:p>
    <w:p w14:paraId="01B96D8C">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儿童游泳圈</w:t>
      </w:r>
    </w:p>
    <w:p w14:paraId="1C1D0CE4">
      <w:pPr>
        <w:pStyle w:val="68"/>
        <w:numPr>
          <w:ilvl w:val="0"/>
          <w:numId w:val="0"/>
        </w:numPr>
        <w:spacing w:beforeLines="0" w:afterLines="0" w:line="480" w:lineRule="exact"/>
      </w:pPr>
    </w:p>
    <w:p w14:paraId="5EFA1AFC">
      <w:pPr>
        <w:pStyle w:val="68"/>
        <w:numPr>
          <w:ilvl w:val="0"/>
          <w:numId w:val="0"/>
        </w:numPr>
        <w:spacing w:beforeLines="0" w:afterLines="0" w:line="480" w:lineRule="exact"/>
      </w:pPr>
      <w:r>
        <w:rPr>
          <w:rFonts w:hint="eastAsia"/>
        </w:rPr>
        <w:t>3 术语和定义</w:t>
      </w:r>
    </w:p>
    <w:p w14:paraId="7D3D9C01">
      <w:pPr>
        <w:pStyle w:val="16"/>
        <w:spacing w:line="480" w:lineRule="exact"/>
      </w:pPr>
      <w:r>
        <w:rPr>
          <w:rFonts w:hint="eastAsia"/>
        </w:rPr>
        <w:t>本细则中未列出的术语和定义同相关引用标准。</w:t>
      </w:r>
    </w:p>
    <w:p w14:paraId="1D4AAD50">
      <w:pPr>
        <w:pStyle w:val="16"/>
        <w:spacing w:line="480" w:lineRule="exact"/>
      </w:pPr>
    </w:p>
    <w:p w14:paraId="0ED7DF2A">
      <w:pPr>
        <w:pStyle w:val="68"/>
        <w:numPr>
          <w:ilvl w:val="0"/>
          <w:numId w:val="0"/>
        </w:numPr>
        <w:spacing w:beforeLines="0" w:afterLines="0" w:line="480" w:lineRule="exact"/>
        <w:rPr>
          <w:rFonts w:ascii="宋体"/>
        </w:rPr>
      </w:pPr>
      <w:r>
        <w:rPr>
          <w:rFonts w:hint="eastAsia"/>
        </w:rPr>
        <w:t>4 检验依据</w:t>
      </w:r>
    </w:p>
    <w:p w14:paraId="2287306D">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62F4D370">
      <w:pPr>
        <w:spacing w:line="480" w:lineRule="exact"/>
        <w:ind w:firstLine="420" w:firstLineChars="200"/>
        <w:rPr>
          <w:rFonts w:hint="eastAsia" w:ascii="宋体" w:hAnsi="宋体" w:cs="Sim Sun"/>
          <w:kern w:val="0"/>
          <w:szCs w:val="21"/>
        </w:rPr>
      </w:pPr>
      <w:r>
        <w:rPr>
          <w:rFonts w:hint="eastAsia" w:ascii="宋体" w:hAnsi="宋体" w:cs="Sim Sun"/>
          <w:kern w:val="0"/>
          <w:szCs w:val="21"/>
        </w:rPr>
        <w:t>GB6675.4—2014玩具安全第4部分：特定元素的迁移</w:t>
      </w:r>
    </w:p>
    <w:p w14:paraId="0BA84896">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82E0E9D">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047A8562">
      <w:pPr>
        <w:spacing w:line="480" w:lineRule="exact"/>
        <w:ind w:firstLine="420" w:firstLineChars="200"/>
        <w:rPr>
          <w:rFonts w:ascii="宋体" w:hAnsi="宋体" w:cs="Sim Sun"/>
          <w:kern w:val="0"/>
          <w:szCs w:val="21"/>
        </w:rPr>
      </w:pPr>
    </w:p>
    <w:p w14:paraId="1CFB145F">
      <w:pPr>
        <w:pStyle w:val="68"/>
        <w:numPr>
          <w:ilvl w:val="0"/>
          <w:numId w:val="0"/>
        </w:numPr>
        <w:spacing w:beforeLines="0" w:afterLines="0" w:line="480" w:lineRule="exact"/>
      </w:pPr>
      <w:r>
        <w:rPr>
          <w:rFonts w:hint="eastAsia"/>
        </w:rPr>
        <w:t>5 抽样</w:t>
      </w:r>
    </w:p>
    <w:p w14:paraId="7D5B0024">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567FB737">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42D15239">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4A8EB3F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220ED3AD">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217CBA09">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132760D4">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A7ACA03">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35CE4CE9">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01BC43C3">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31544238">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48AABAC1">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w:t>
      </w:r>
      <w:r>
        <w:rPr>
          <w:rFonts w:hint="eastAsia" w:ascii="宋体" w:hAnsi="宋体" w:cs="宋体"/>
          <w:kern w:val="0"/>
          <w:szCs w:val="21"/>
        </w:rPr>
        <w:t>：每批次产品抽取</w:t>
      </w:r>
      <w:r>
        <w:rPr>
          <w:rFonts w:hint="eastAsia" w:ascii="宋体" w:hAnsi="宋体" w:cs="宋体"/>
          <w:kern w:val="0"/>
          <w:szCs w:val="21"/>
          <w:lang w:val="en-US" w:eastAsia="zh-CN"/>
        </w:rPr>
        <w:t>3个</w:t>
      </w:r>
      <w:r>
        <w:rPr>
          <w:rFonts w:hint="eastAsia" w:ascii="宋体" w:hAnsi="宋体" w:cs="宋体"/>
          <w:kern w:val="0"/>
          <w:szCs w:val="21"/>
        </w:rPr>
        <w:t>，其中</w:t>
      </w:r>
      <w:r>
        <w:rPr>
          <w:rFonts w:hint="eastAsia" w:ascii="宋体" w:hAnsi="宋体" w:cs="宋体"/>
          <w:kern w:val="0"/>
          <w:szCs w:val="21"/>
          <w:lang w:val="en-US" w:eastAsia="zh-CN"/>
        </w:rPr>
        <w:t>2</w:t>
      </w:r>
      <w:r>
        <w:rPr>
          <w:rFonts w:hint="eastAsia" w:ascii="宋体" w:hAnsi="宋体" w:cs="宋体"/>
          <w:kern w:val="0"/>
          <w:szCs w:val="21"/>
          <w:lang w:eastAsia="zh-CN"/>
        </w:rPr>
        <w:t>个</w:t>
      </w:r>
      <w:r>
        <w:rPr>
          <w:rFonts w:hint="eastAsia" w:ascii="宋体" w:hAnsi="宋体" w:cs="宋体"/>
          <w:kern w:val="0"/>
          <w:szCs w:val="21"/>
        </w:rPr>
        <w:t>作为检验样品，1</w:t>
      </w:r>
      <w:r>
        <w:rPr>
          <w:rFonts w:hint="eastAsia" w:ascii="宋体" w:hAnsi="宋体" w:cs="宋体"/>
          <w:kern w:val="0"/>
          <w:szCs w:val="21"/>
          <w:lang w:eastAsia="zh-CN"/>
        </w:rPr>
        <w:t>个</w:t>
      </w:r>
      <w:r>
        <w:rPr>
          <w:rFonts w:hint="eastAsia" w:ascii="宋体" w:hAnsi="宋体" w:cs="宋体"/>
          <w:kern w:val="0"/>
          <w:szCs w:val="21"/>
        </w:rPr>
        <w:t>作为备用样品</w:t>
      </w:r>
      <w:r>
        <w:rPr>
          <w:rFonts w:hint="eastAsia" w:ascii="宋体" w:hAnsi="宋体" w:cs="宋体"/>
          <w:kern w:val="0"/>
          <w:szCs w:val="21"/>
          <w:lang w:eastAsia="zh-CN"/>
        </w:rPr>
        <w:t>。</w:t>
      </w:r>
    </w:p>
    <w:p w14:paraId="5933C8F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04A4ABD9">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71DAD11A">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282DE7E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3B786491">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CD9AFE4">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675CDE6A">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724F7026">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6051B3F4">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7B0EE7F1">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45030659">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12D5579A">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3B0DF10D">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337179D1">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4DD1582D">
      <w:pPr>
        <w:pStyle w:val="68"/>
        <w:numPr>
          <w:ilvl w:val="0"/>
          <w:numId w:val="0"/>
        </w:numPr>
        <w:spacing w:beforeLines="0" w:afterLines="0" w:line="480" w:lineRule="exact"/>
      </w:pPr>
    </w:p>
    <w:p w14:paraId="77070517">
      <w:pPr>
        <w:pStyle w:val="68"/>
        <w:numPr>
          <w:ilvl w:val="0"/>
          <w:numId w:val="0"/>
        </w:numPr>
        <w:spacing w:beforeLines="0" w:afterLines="0" w:line="480" w:lineRule="exact"/>
      </w:pPr>
      <w:r>
        <w:rPr>
          <w:rFonts w:hint="eastAsia"/>
        </w:rPr>
        <w:t>6 检验要求</w:t>
      </w:r>
    </w:p>
    <w:p w14:paraId="19574901">
      <w:pPr>
        <w:pStyle w:val="16"/>
        <w:spacing w:line="480" w:lineRule="exact"/>
      </w:pPr>
      <w:r>
        <w:rPr>
          <w:rFonts w:hint="eastAsia"/>
          <w:lang w:eastAsia="zh-CN"/>
        </w:rPr>
        <w:t>儿童游泳圈</w:t>
      </w:r>
      <w:r>
        <w:rPr>
          <w:rFonts w:hint="eastAsia"/>
        </w:rPr>
        <w:t>的检验项目见表1。</w:t>
      </w:r>
    </w:p>
    <w:p w14:paraId="36B4E487">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儿童游泳圈</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3387"/>
        <w:gridCol w:w="2221"/>
        <w:gridCol w:w="2518"/>
      </w:tblGrid>
      <w:tr w14:paraId="24B70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9" w:type="pct"/>
            <w:tcBorders>
              <w:top w:val="single" w:color="auto" w:sz="4" w:space="0"/>
              <w:left w:val="single" w:color="auto" w:sz="4" w:space="0"/>
              <w:right w:val="single" w:color="auto" w:sz="4" w:space="0"/>
            </w:tcBorders>
            <w:vAlign w:val="center"/>
          </w:tcPr>
          <w:p w14:paraId="4C9B92C9">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32666FD1">
            <w:pPr>
              <w:jc w:val="center"/>
            </w:pPr>
            <w:r>
              <w:rPr>
                <w:rFonts w:hint="eastAsia"/>
              </w:rPr>
              <w:t>检验项目</w:t>
            </w:r>
          </w:p>
        </w:tc>
        <w:tc>
          <w:tcPr>
            <w:tcW w:w="1224" w:type="pct"/>
            <w:tcBorders>
              <w:top w:val="single" w:color="auto" w:sz="4" w:space="0"/>
              <w:left w:val="single" w:color="auto" w:sz="4" w:space="0"/>
              <w:right w:val="single" w:color="auto" w:sz="4" w:space="0"/>
            </w:tcBorders>
            <w:vAlign w:val="center"/>
          </w:tcPr>
          <w:p w14:paraId="3FA5AC8A">
            <w:pPr>
              <w:jc w:val="center"/>
            </w:pPr>
            <w:r>
              <w:rPr>
                <w:rFonts w:hint="eastAsia"/>
              </w:rPr>
              <w:t>检验依据</w:t>
            </w:r>
          </w:p>
        </w:tc>
        <w:tc>
          <w:tcPr>
            <w:tcW w:w="1388" w:type="pct"/>
            <w:tcBorders>
              <w:top w:val="single" w:color="auto" w:sz="4" w:space="0"/>
              <w:left w:val="single" w:color="auto" w:sz="4" w:space="0"/>
              <w:right w:val="single" w:color="auto" w:sz="4" w:space="0"/>
            </w:tcBorders>
            <w:vAlign w:val="center"/>
          </w:tcPr>
          <w:p w14:paraId="0D224921">
            <w:pPr>
              <w:jc w:val="center"/>
            </w:pPr>
            <w:r>
              <w:rPr>
                <w:rFonts w:hint="eastAsia"/>
              </w:rPr>
              <w:t>检验方法</w:t>
            </w:r>
          </w:p>
        </w:tc>
      </w:tr>
      <w:tr w14:paraId="5FBC5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519" w:type="pct"/>
            <w:tcBorders>
              <w:top w:val="single" w:color="auto" w:sz="4" w:space="0"/>
              <w:left w:val="single" w:color="auto" w:sz="4" w:space="0"/>
              <w:right w:val="single" w:color="auto" w:sz="4" w:space="0"/>
            </w:tcBorders>
            <w:vAlign w:val="center"/>
          </w:tcPr>
          <w:p w14:paraId="171A37FF">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35FE35A6">
            <w:pPr>
              <w:jc w:val="center"/>
              <w:rPr>
                <w:rFonts w:hint="eastAsia" w:ascii="Times New Roman" w:hAnsi="Times New Roman" w:eastAsia="宋体" w:cs="Times New Roman"/>
              </w:rPr>
            </w:pPr>
            <w:r>
              <w:rPr>
                <w:rFonts w:hint="eastAsia" w:ascii="Times New Roman" w:hAnsi="Times New Roman" w:eastAsia="宋体" w:cs="Times New Roman"/>
              </w:rPr>
              <w:t>特定元素的迁移</w:t>
            </w:r>
          </w:p>
        </w:tc>
        <w:tc>
          <w:tcPr>
            <w:tcW w:w="1224" w:type="pct"/>
            <w:tcBorders>
              <w:top w:val="single" w:color="auto" w:sz="4" w:space="0"/>
              <w:left w:val="single" w:color="auto" w:sz="4" w:space="0"/>
              <w:right w:val="single" w:color="auto" w:sz="4" w:space="0"/>
            </w:tcBorders>
            <w:vAlign w:val="center"/>
          </w:tcPr>
          <w:p w14:paraId="35566253">
            <w:pPr>
              <w:jc w:val="center"/>
              <w:rPr>
                <w:rFonts w:hint="eastAsia" w:ascii="Times New Roman" w:hAnsi="Times New Roman" w:eastAsia="宋体" w:cs="Times New Roman"/>
              </w:rPr>
            </w:pPr>
            <w:r>
              <w:rPr>
                <w:rFonts w:hint="eastAsia" w:ascii="Times New Roman" w:hAnsi="Times New Roman" w:eastAsia="宋体" w:cs="Times New Roman"/>
              </w:rPr>
              <w:t>GB6675.4—2014</w:t>
            </w:r>
          </w:p>
        </w:tc>
        <w:tc>
          <w:tcPr>
            <w:tcW w:w="1388" w:type="pct"/>
            <w:tcBorders>
              <w:top w:val="single" w:color="auto" w:sz="4" w:space="0"/>
              <w:left w:val="single" w:color="auto" w:sz="4" w:space="0"/>
              <w:right w:val="single" w:color="auto" w:sz="4" w:space="0"/>
            </w:tcBorders>
            <w:vAlign w:val="center"/>
          </w:tcPr>
          <w:p w14:paraId="0D5D159E">
            <w:pPr>
              <w:jc w:val="center"/>
              <w:rPr>
                <w:rFonts w:hint="eastAsia" w:ascii="Times New Roman" w:hAnsi="Times New Roman" w:eastAsia="宋体" w:cs="Times New Roman"/>
              </w:rPr>
            </w:pPr>
            <w:r>
              <w:rPr>
                <w:rFonts w:hint="eastAsia" w:ascii="Times New Roman" w:hAnsi="Times New Roman" w:eastAsia="宋体" w:cs="Times New Roman"/>
              </w:rPr>
              <w:t>GB6675.4—2014</w:t>
            </w:r>
          </w:p>
        </w:tc>
      </w:tr>
    </w:tbl>
    <w:p w14:paraId="21166673">
      <w:pPr>
        <w:pStyle w:val="68"/>
        <w:numPr>
          <w:ilvl w:val="0"/>
          <w:numId w:val="0"/>
        </w:numPr>
        <w:spacing w:beforeLines="0" w:afterLines="0" w:line="480" w:lineRule="exact"/>
      </w:pPr>
    </w:p>
    <w:p w14:paraId="138D2D24">
      <w:pPr>
        <w:pStyle w:val="68"/>
        <w:numPr>
          <w:ilvl w:val="0"/>
          <w:numId w:val="0"/>
        </w:numPr>
        <w:spacing w:beforeLines="0" w:afterLines="0" w:line="480" w:lineRule="exact"/>
      </w:pPr>
      <w:r>
        <w:rPr>
          <w:rFonts w:hint="eastAsia"/>
        </w:rPr>
        <w:t>7 判定原则</w:t>
      </w:r>
    </w:p>
    <w:p w14:paraId="6246FDF0">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4D7EDAE">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22E94C1">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640084B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4FE43560">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6719C832">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儿童游泳圈</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5C88BD37">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儿童游泳圈</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6D7763E5">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45064C9A">
      <w:pPr>
        <w:snapToGrid w:val="0"/>
        <w:spacing w:line="480" w:lineRule="exact"/>
        <w:rPr>
          <w:rFonts w:ascii="黑体" w:hAnsi="宋体" w:eastAsia="黑体"/>
          <w:szCs w:val="21"/>
        </w:rPr>
      </w:pPr>
    </w:p>
    <w:p w14:paraId="06FED15C">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724FDB54">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576583D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5CBFD7F0">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51455049">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PMingLiU">
    <w:altName w:val="Microsoft JhengHei UI"/>
    <w:panose1 w:val="02010601000101010101"/>
    <w:charset w:val="88"/>
    <w:family w:val="auto"/>
    <w:pitch w:val="default"/>
    <w:sig w:usb0="00000000" w:usb1="00000000" w:usb2="00000010" w:usb3="00000000" w:csb0="00100000" w:csb1="00000000"/>
  </w:font>
  <w:font w:name="Arial Unicode MS">
    <w:altName w:val="Arial"/>
    <w:panose1 w:val="00000000000000000000"/>
    <w:charset w:val="00"/>
    <w:family w:val="auto"/>
    <w:pitch w:val="default"/>
    <w:sig w:usb0="00000000" w:usb1="00000000" w:usb2="00000000" w:usb3="00000000" w:csb0="00000000"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A7970">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A1CCCC2">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49384E1">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DCFCA">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F4EA32A">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42BD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36A730B"/>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ADD0C10"/>
    <w:rsid w:val="4AF9536E"/>
    <w:rsid w:val="4D0E5421"/>
    <w:rsid w:val="4D830187"/>
    <w:rsid w:val="4D9B2362"/>
    <w:rsid w:val="4DBF1C1A"/>
    <w:rsid w:val="4FC76304"/>
    <w:rsid w:val="51C81EA6"/>
    <w:rsid w:val="531102E5"/>
    <w:rsid w:val="56682C5A"/>
    <w:rsid w:val="57F87DF2"/>
    <w:rsid w:val="5A1E4822"/>
    <w:rsid w:val="5A3D262A"/>
    <w:rsid w:val="5B867F38"/>
    <w:rsid w:val="5B903CC7"/>
    <w:rsid w:val="5B9F2D73"/>
    <w:rsid w:val="5BB72435"/>
    <w:rsid w:val="5C2B76EA"/>
    <w:rsid w:val="5C5C653B"/>
    <w:rsid w:val="5E135BA1"/>
    <w:rsid w:val="5EA6278E"/>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uiPriority w:val="0"/>
    <w:pPr>
      <w:tabs>
        <w:tab w:val="left" w:pos="360"/>
      </w:tabs>
      <w:spacing w:beforeLines="0" w:afterLines="0"/>
    </w:pPr>
    <w:rPr>
      <w:rFonts w:ascii="宋体" w:eastAsia="宋体"/>
      <w:szCs w:val="21"/>
    </w:rPr>
  </w:style>
  <w:style w:type="paragraph" w:customStyle="1" w:styleId="58">
    <w:name w:val="附录三级条标题"/>
    <w:basedOn w:val="59"/>
    <w:next w:val="16"/>
    <w:uiPriority w:val="0"/>
    <w:pPr>
      <w:numPr>
        <w:ilvl w:val="0"/>
        <w:numId w:val="0"/>
      </w:numPr>
      <w:tabs>
        <w:tab w:val="left" w:pos="360"/>
      </w:tabs>
      <w:outlineLvl w:val="4"/>
    </w:pPr>
  </w:style>
  <w:style w:type="paragraph" w:customStyle="1" w:styleId="59">
    <w:name w:val="附录二级条标题"/>
    <w:basedOn w:val="1"/>
    <w:next w:val="16"/>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uiPriority w:val="0"/>
    <w:pPr>
      <w:numPr>
        <w:ilvl w:val="2"/>
      </w:numPr>
      <w:tabs>
        <w:tab w:val="left" w:pos="360"/>
      </w:tabs>
      <w:autoSpaceDN w:val="0"/>
      <w:spacing w:beforeLines="50" w:afterLines="50"/>
      <w:outlineLvl w:val="2"/>
    </w:pPr>
  </w:style>
  <w:style w:type="paragraph" w:customStyle="1" w:styleId="62">
    <w:name w:val="附录章标题"/>
    <w:next w:val="16"/>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uiPriority w:val="0"/>
    <w:pPr>
      <w:framePr w:wrap="around" w:y="15310"/>
      <w:spacing w:line="0" w:lineRule="atLeast"/>
    </w:pPr>
    <w:rPr>
      <w:rFonts w:ascii="黑体" w:eastAsia="黑体"/>
      <w:b w:val="0"/>
    </w:rPr>
  </w:style>
  <w:style w:type="paragraph" w:customStyle="1" w:styleId="127">
    <w:name w:val="字母编号列项（一级）"/>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uiPriority w:val="0"/>
    <w:pPr>
      <w:tabs>
        <w:tab w:val="clear" w:pos="360"/>
      </w:tabs>
      <w:spacing w:beforeLines="0" w:afterLines="0"/>
    </w:pPr>
    <w:rPr>
      <w:rFonts w:ascii="宋体" w:eastAsia="宋体"/>
      <w:szCs w:val="21"/>
    </w:rPr>
  </w:style>
  <w:style w:type="paragraph" w:customStyle="1" w:styleId="131">
    <w:name w:val="封面标准名称2"/>
    <w:basedOn w:val="80"/>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4</Pages>
  <Words>2877</Words>
  <Characters>3122</Characters>
  <Lines>23</Lines>
  <Paragraphs>6</Paragraphs>
  <TotalTime>0</TotalTime>
  <ScaleCrop>false</ScaleCrop>
  <LinksUpToDate>false</LinksUpToDate>
  <CharactersWithSpaces>3164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2025-06-17T06:49:55Z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40157476EEB14B708BC85467639FF6D2_13</vt:lpwstr>
  </property>
  <property fmtid="{D5CDD505-2E9C-101B-9397-08002B2CF9AE}" pid="4" name="KSOTemplateDocerSaveRecord">
    <vt:lpwstr>eyJoZGlkIjoiNWNkZGY4NTNkYTNlZDAyNmJkNzQwY2RmNmEzMmE2NDAiLCJ1c2VySWQiOiIxNDQ1NjU1MDYxIn0=</vt:lpwstr>
  </property>
</Properties>
</file>