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A0C263">
      <w:pPr>
        <w:spacing w:line="480" w:lineRule="exact"/>
        <w:jc w:val="center"/>
        <w:rPr>
          <w:rFonts w:ascii="黑体" w:hAnsi="黑体" w:eastAsia="黑体"/>
          <w:sz w:val="32"/>
          <w:szCs w:val="32"/>
        </w:rPr>
      </w:pPr>
      <w:bookmarkStart w:id="1" w:name="_GoBack"/>
      <w:r>
        <w:rPr>
          <w:rFonts w:hint="eastAsia" w:ascii="黑体" w:hAnsi="黑体" w:eastAsia="黑体"/>
          <w:sz w:val="32"/>
          <w:szCs w:val="32"/>
        </w:rPr>
        <w:t>2025年</w:t>
      </w:r>
      <w:r>
        <w:rPr>
          <w:rFonts w:hint="eastAsia" w:ascii="黑体" w:hAnsi="黑体" w:eastAsia="黑体"/>
          <w:sz w:val="32"/>
          <w:szCs w:val="32"/>
          <w:lang w:eastAsia="zh-CN"/>
        </w:rPr>
        <w:t>儿童玩具</w:t>
      </w:r>
      <w:r>
        <w:rPr>
          <w:rFonts w:hint="eastAsia" w:ascii="黑体" w:hAnsi="黑体" w:eastAsia="黑体"/>
          <w:sz w:val="32"/>
          <w:szCs w:val="32"/>
        </w:rPr>
        <w:t>产品质量柳州市监督抽查实施细则</w:t>
      </w:r>
    </w:p>
    <w:bookmarkEnd w:id="1"/>
    <w:p w14:paraId="1166DE1C">
      <w:pPr>
        <w:pStyle w:val="68"/>
        <w:numPr>
          <w:ilvl w:val="0"/>
          <w:numId w:val="0"/>
        </w:numPr>
        <w:spacing w:beforeLines="0" w:afterLines="0" w:line="480" w:lineRule="exact"/>
      </w:pPr>
      <w:bookmarkStart w:id="0" w:name="_Toc179596492"/>
    </w:p>
    <w:p w14:paraId="69079D9F">
      <w:pPr>
        <w:pStyle w:val="68"/>
        <w:numPr>
          <w:ilvl w:val="0"/>
          <w:numId w:val="0"/>
        </w:numPr>
        <w:spacing w:beforeLines="0" w:afterLines="0" w:line="480" w:lineRule="exact"/>
        <w:rPr>
          <w:color w:val="FF0000"/>
        </w:rPr>
      </w:pPr>
      <w:r>
        <w:rPr>
          <w:rFonts w:hint="eastAsia"/>
        </w:rPr>
        <w:t>1 范围</w:t>
      </w:r>
      <w:bookmarkEnd w:id="0"/>
    </w:p>
    <w:p w14:paraId="0CCF7393">
      <w:pPr>
        <w:spacing w:line="480" w:lineRule="exact"/>
        <w:ind w:firstLine="420" w:firstLineChars="200"/>
        <w:rPr>
          <w:rFonts w:ascii="宋体" w:hAnsi="宋体" w:cs="Sim Sun"/>
          <w:kern w:val="0"/>
          <w:szCs w:val="21"/>
        </w:rPr>
      </w:pPr>
      <w:r>
        <w:rPr>
          <w:rFonts w:hint="eastAsia" w:ascii="宋体" w:hAnsi="宋体" w:cs="Sim Sun"/>
          <w:kern w:val="0"/>
          <w:szCs w:val="21"/>
        </w:rPr>
        <w:t>本细则适用于</w:t>
      </w:r>
      <w:r>
        <w:rPr>
          <w:rFonts w:hint="eastAsia" w:ascii="宋体" w:hAnsi="宋体" w:cs="Sim Sun"/>
          <w:kern w:val="0"/>
          <w:szCs w:val="21"/>
          <w:lang w:eastAsia="zh-CN"/>
        </w:rPr>
        <w:t>儿童玩具</w:t>
      </w:r>
      <w:r>
        <w:rPr>
          <w:rFonts w:hint="eastAsia" w:ascii="宋体" w:hAnsi="宋体" w:cs="Sim Sun"/>
          <w:kern w:val="0"/>
          <w:szCs w:val="21"/>
        </w:rPr>
        <w:t>产品质量柳州市监督抽查，</w:t>
      </w:r>
      <w:r>
        <w:rPr>
          <w:rFonts w:ascii="宋体" w:hAnsi="宋体" w:cs="Sim Sun"/>
          <w:kern w:val="0"/>
          <w:szCs w:val="21"/>
        </w:rPr>
        <w:t>其他</w:t>
      </w:r>
      <w:r>
        <w:rPr>
          <w:rFonts w:hint="eastAsia" w:ascii="宋体" w:hAnsi="宋体" w:cs="Sim Sun"/>
          <w:kern w:val="0"/>
          <w:szCs w:val="21"/>
        </w:rPr>
        <w:t>市场监管</w:t>
      </w:r>
      <w:r>
        <w:rPr>
          <w:rFonts w:ascii="宋体" w:hAnsi="宋体" w:cs="Sim Sun"/>
          <w:kern w:val="0"/>
          <w:szCs w:val="21"/>
        </w:rPr>
        <w:t>部门组织的及针对特殊情况的监督抽查可参考本细则执行</w:t>
      </w:r>
      <w:r>
        <w:rPr>
          <w:rFonts w:hint="eastAsia" w:ascii="宋体" w:hAnsi="宋体" w:cs="Sim Sun"/>
          <w:kern w:val="0"/>
          <w:szCs w:val="21"/>
        </w:rPr>
        <w:t>。监督抽查产品范围包括：</w:t>
      </w:r>
      <w:r>
        <w:rPr>
          <w:rFonts w:hint="eastAsia" w:ascii="宋体" w:hAnsi="宋体" w:cs="Sim Sun"/>
          <w:kern w:val="0"/>
          <w:szCs w:val="21"/>
          <w:lang w:eastAsia="zh-CN"/>
        </w:rPr>
        <w:t>儿童玩具</w:t>
      </w:r>
      <w:r>
        <w:rPr>
          <w:rFonts w:hint="eastAsia" w:ascii="宋体" w:hAnsi="宋体" w:cs="Sim Sun"/>
          <w:kern w:val="0"/>
          <w:szCs w:val="21"/>
        </w:rPr>
        <w:t>。本细则内容包括产品种类、术语和定义、检验依据、抽样、检验要求、判定原则及异议处理。</w:t>
      </w:r>
    </w:p>
    <w:p w14:paraId="03A87BC8">
      <w:pPr>
        <w:spacing w:line="480" w:lineRule="exact"/>
        <w:ind w:firstLine="420" w:firstLineChars="200"/>
        <w:rPr>
          <w:rFonts w:ascii="宋体" w:hAnsi="宋体" w:cs="Sim Sun"/>
          <w:kern w:val="0"/>
          <w:szCs w:val="21"/>
        </w:rPr>
      </w:pPr>
    </w:p>
    <w:p w14:paraId="023C9765">
      <w:pPr>
        <w:pStyle w:val="68"/>
        <w:numPr>
          <w:ilvl w:val="0"/>
          <w:numId w:val="0"/>
        </w:numPr>
        <w:spacing w:beforeLines="0" w:afterLines="0" w:line="480" w:lineRule="exact"/>
      </w:pPr>
      <w:r>
        <w:rPr>
          <w:rFonts w:hint="eastAsia"/>
        </w:rPr>
        <w:t>2 产品种类</w:t>
      </w:r>
    </w:p>
    <w:p w14:paraId="01B96D8C">
      <w:pPr>
        <w:spacing w:line="480" w:lineRule="exact"/>
        <w:ind w:firstLine="420" w:firstLineChars="200"/>
        <w:rPr>
          <w:rFonts w:hint="default" w:ascii="宋体" w:hAnsi="宋体" w:cs="Sim Sun"/>
          <w:kern w:val="0"/>
          <w:szCs w:val="21"/>
          <w:lang w:val="en-US"/>
        </w:rPr>
      </w:pPr>
      <w:r>
        <w:rPr>
          <w:rFonts w:hint="eastAsia" w:ascii="宋体" w:hAnsi="宋体" w:cs="Sim Sun"/>
          <w:kern w:val="0"/>
          <w:szCs w:val="21"/>
          <w:lang w:eastAsia="zh-CN"/>
        </w:rPr>
        <w:t>儿童玩具</w:t>
      </w:r>
    </w:p>
    <w:p w14:paraId="1C1D0CE4">
      <w:pPr>
        <w:pStyle w:val="68"/>
        <w:numPr>
          <w:ilvl w:val="0"/>
          <w:numId w:val="0"/>
        </w:numPr>
        <w:spacing w:beforeLines="0" w:afterLines="0" w:line="480" w:lineRule="exact"/>
      </w:pPr>
    </w:p>
    <w:p w14:paraId="5EFA1AFC">
      <w:pPr>
        <w:pStyle w:val="68"/>
        <w:numPr>
          <w:ilvl w:val="0"/>
          <w:numId w:val="0"/>
        </w:numPr>
        <w:spacing w:beforeLines="0" w:afterLines="0" w:line="480" w:lineRule="exact"/>
      </w:pPr>
      <w:r>
        <w:rPr>
          <w:rFonts w:hint="eastAsia"/>
        </w:rPr>
        <w:t>3 术语和定义</w:t>
      </w:r>
    </w:p>
    <w:p w14:paraId="7D3D9C01">
      <w:pPr>
        <w:pStyle w:val="16"/>
        <w:spacing w:line="480" w:lineRule="exact"/>
      </w:pPr>
      <w:r>
        <w:rPr>
          <w:rFonts w:hint="eastAsia"/>
        </w:rPr>
        <w:t>本细则中未列出的术语和定义同相关引用标准。</w:t>
      </w:r>
    </w:p>
    <w:p w14:paraId="1D4AAD50">
      <w:pPr>
        <w:pStyle w:val="16"/>
        <w:spacing w:line="480" w:lineRule="exact"/>
      </w:pPr>
    </w:p>
    <w:p w14:paraId="0ED7DF2A">
      <w:pPr>
        <w:pStyle w:val="68"/>
        <w:numPr>
          <w:ilvl w:val="0"/>
          <w:numId w:val="0"/>
        </w:numPr>
        <w:spacing w:beforeLines="0" w:afterLines="0" w:line="480" w:lineRule="exact"/>
        <w:rPr>
          <w:rFonts w:ascii="宋体"/>
        </w:rPr>
      </w:pPr>
      <w:r>
        <w:rPr>
          <w:rFonts w:hint="eastAsia"/>
        </w:rPr>
        <w:t>4 检验依据</w:t>
      </w:r>
    </w:p>
    <w:p w14:paraId="2287306D">
      <w:pPr>
        <w:snapToGrid w:val="0"/>
        <w:spacing w:line="480" w:lineRule="exact"/>
        <w:ind w:firstLine="420" w:firstLineChars="200"/>
        <w:rPr>
          <w:rFonts w:hint="eastAsia" w:ascii="宋体" w:hAnsi="宋体" w:eastAsia="宋体" w:cs="Sim Sun"/>
          <w:kern w:val="0"/>
          <w:szCs w:val="21"/>
        </w:rPr>
      </w:pPr>
      <w:r>
        <w:rPr>
          <w:rFonts w:hint="eastAsia" w:ascii="宋体" w:hAnsi="宋体"/>
          <w:bCs/>
          <w:szCs w:val="21"/>
        </w:rPr>
        <w:t>凡是注日期的文件，其随后所有的修改单（不包括勘误的内容）或修订版不适用于本细则。凡是不注日期的引用文件，其最新版本适用于本细则。</w:t>
      </w:r>
    </w:p>
    <w:p w14:paraId="4591D882">
      <w:pPr>
        <w:spacing w:line="480" w:lineRule="exact"/>
        <w:ind w:firstLine="420" w:firstLineChars="200"/>
        <w:rPr>
          <w:rFonts w:hint="eastAsia" w:ascii="宋体" w:hAnsi="宋体" w:cs="Sim Sun"/>
          <w:kern w:val="0"/>
          <w:szCs w:val="21"/>
        </w:rPr>
      </w:pPr>
      <w:r>
        <w:rPr>
          <w:rFonts w:hint="eastAsia" w:ascii="宋体" w:hAnsi="宋体" w:cs="Sim Sun"/>
          <w:kern w:val="0"/>
          <w:szCs w:val="21"/>
        </w:rPr>
        <w:t>GB6675.1—2014玩具安全第1部分：基本规范</w:t>
      </w:r>
    </w:p>
    <w:p w14:paraId="27B03722">
      <w:pPr>
        <w:spacing w:line="480" w:lineRule="exact"/>
        <w:ind w:firstLine="420" w:firstLineChars="200"/>
        <w:rPr>
          <w:rFonts w:hint="eastAsia" w:ascii="宋体" w:hAnsi="宋体" w:cs="Sim Sun"/>
          <w:kern w:val="0"/>
          <w:szCs w:val="21"/>
        </w:rPr>
      </w:pPr>
      <w:r>
        <w:rPr>
          <w:rFonts w:hint="eastAsia" w:ascii="宋体" w:hAnsi="宋体" w:cs="Sim Sun"/>
          <w:kern w:val="0"/>
          <w:szCs w:val="21"/>
        </w:rPr>
        <w:t>GB6675.2—2014玩具安全第2部分：机械与物理性能（含第1号修改单）</w:t>
      </w:r>
    </w:p>
    <w:p w14:paraId="73D2F13F">
      <w:pPr>
        <w:spacing w:line="480" w:lineRule="exact"/>
        <w:ind w:firstLine="420" w:firstLineChars="200"/>
        <w:rPr>
          <w:rFonts w:hint="eastAsia" w:ascii="宋体" w:hAnsi="宋体" w:cs="Sim Sun"/>
          <w:kern w:val="0"/>
          <w:szCs w:val="21"/>
        </w:rPr>
      </w:pPr>
      <w:r>
        <w:rPr>
          <w:rFonts w:hint="eastAsia" w:ascii="宋体" w:hAnsi="宋体" w:cs="Sim Sun"/>
          <w:kern w:val="0"/>
          <w:szCs w:val="21"/>
        </w:rPr>
        <w:t>GB6675.3—2014玩具安全第3部分：易燃性能</w:t>
      </w:r>
    </w:p>
    <w:p w14:paraId="7FC8D0FD">
      <w:pPr>
        <w:spacing w:line="480" w:lineRule="exact"/>
        <w:ind w:firstLine="420" w:firstLineChars="200"/>
        <w:rPr>
          <w:rFonts w:hint="eastAsia" w:ascii="宋体" w:hAnsi="宋体" w:cs="Sim Sun"/>
          <w:kern w:val="0"/>
          <w:szCs w:val="21"/>
        </w:rPr>
      </w:pPr>
      <w:r>
        <w:rPr>
          <w:rFonts w:hint="eastAsia" w:ascii="宋体" w:hAnsi="宋体" w:cs="Sim Sun"/>
          <w:kern w:val="0"/>
          <w:szCs w:val="21"/>
        </w:rPr>
        <w:t>GB6675.4—2014玩具安全第4部分：特定元素的迁移</w:t>
      </w:r>
    </w:p>
    <w:p w14:paraId="31AD0D7A">
      <w:pPr>
        <w:spacing w:line="480" w:lineRule="exact"/>
        <w:ind w:firstLine="420" w:firstLineChars="200"/>
        <w:rPr>
          <w:rFonts w:hint="eastAsia" w:ascii="宋体" w:hAnsi="宋体" w:cs="Sim Sun"/>
          <w:kern w:val="0"/>
          <w:szCs w:val="21"/>
        </w:rPr>
      </w:pPr>
      <w:r>
        <w:rPr>
          <w:rFonts w:hint="eastAsia" w:ascii="宋体" w:hAnsi="宋体" w:cs="Sim Sun"/>
          <w:kern w:val="0"/>
          <w:szCs w:val="21"/>
        </w:rPr>
        <w:t>GB19865—2005电玩具的安全（含第1号修改单）</w:t>
      </w:r>
    </w:p>
    <w:p w14:paraId="7181C6F8">
      <w:pPr>
        <w:spacing w:line="480" w:lineRule="exact"/>
        <w:ind w:firstLine="420" w:firstLineChars="200"/>
        <w:rPr>
          <w:rFonts w:hint="eastAsia" w:ascii="宋体" w:hAnsi="宋体" w:cs="Sim Sun"/>
          <w:kern w:val="0"/>
          <w:szCs w:val="21"/>
        </w:rPr>
      </w:pPr>
      <w:r>
        <w:rPr>
          <w:rFonts w:hint="eastAsia" w:ascii="宋体" w:hAnsi="宋体" w:cs="Sim Sun"/>
          <w:kern w:val="0"/>
          <w:szCs w:val="21"/>
        </w:rPr>
        <w:t>GB/T22048—2022玩具及儿童用品中特定邻苯二甲酸酯增塑剂的测定</w:t>
      </w:r>
    </w:p>
    <w:p w14:paraId="0BA84896">
      <w:pPr>
        <w:spacing w:line="480" w:lineRule="exact"/>
        <w:ind w:firstLine="420" w:firstLineChars="200"/>
        <w:rPr>
          <w:rFonts w:ascii="宋体" w:hAnsi="宋体" w:cs="Sim Sun"/>
          <w:kern w:val="0"/>
          <w:szCs w:val="21"/>
        </w:rPr>
      </w:pPr>
      <w:r>
        <w:rPr>
          <w:rFonts w:hint="eastAsia" w:ascii="宋体" w:hAnsi="宋体" w:cs="Sim Sun"/>
          <w:kern w:val="0"/>
          <w:szCs w:val="21"/>
        </w:rPr>
        <w:t>相关法律法规、部门规章和规范。</w:t>
      </w:r>
    </w:p>
    <w:p w14:paraId="682E0E9D">
      <w:pPr>
        <w:spacing w:line="480" w:lineRule="exact"/>
        <w:ind w:firstLine="420" w:firstLineChars="200"/>
        <w:rPr>
          <w:rFonts w:ascii="宋体" w:hAnsi="宋体" w:cs="Sim Sun"/>
          <w:kern w:val="0"/>
          <w:szCs w:val="21"/>
        </w:rPr>
      </w:pPr>
      <w:r>
        <w:rPr>
          <w:rFonts w:hint="eastAsia" w:ascii="宋体" w:hAnsi="宋体" w:cs="Sim Sun"/>
          <w:kern w:val="0"/>
          <w:szCs w:val="21"/>
        </w:rPr>
        <w:t>现行有效的企业标准、团体标准、地方标准及产品明示质量要求。</w:t>
      </w:r>
    </w:p>
    <w:p w14:paraId="047A8562">
      <w:pPr>
        <w:spacing w:line="480" w:lineRule="exact"/>
        <w:ind w:firstLine="420" w:firstLineChars="200"/>
        <w:rPr>
          <w:rFonts w:ascii="宋体" w:hAnsi="宋体" w:cs="Sim Sun"/>
          <w:kern w:val="0"/>
          <w:szCs w:val="21"/>
        </w:rPr>
      </w:pPr>
    </w:p>
    <w:p w14:paraId="1CFB145F">
      <w:pPr>
        <w:pStyle w:val="68"/>
        <w:numPr>
          <w:ilvl w:val="0"/>
          <w:numId w:val="0"/>
        </w:numPr>
        <w:spacing w:beforeLines="0" w:afterLines="0" w:line="480" w:lineRule="exact"/>
      </w:pPr>
      <w:r>
        <w:rPr>
          <w:rFonts w:hint="eastAsia"/>
        </w:rPr>
        <w:t>5 抽样</w:t>
      </w:r>
    </w:p>
    <w:p w14:paraId="7D5B0024">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5.1抽样型号或规格</w:t>
      </w:r>
    </w:p>
    <w:p w14:paraId="567FB737">
      <w:pPr>
        <w:snapToGrid w:val="0"/>
        <w:spacing w:line="480" w:lineRule="exact"/>
        <w:ind w:firstLine="420" w:firstLineChars="200"/>
        <w:rPr>
          <w:rFonts w:ascii="宋体" w:hAnsi="宋体" w:cs="宋体"/>
          <w:szCs w:val="21"/>
        </w:rPr>
      </w:pPr>
      <w:r>
        <w:rPr>
          <w:rFonts w:hint="eastAsia" w:ascii="宋体" w:hAnsi="宋体" w:cs="宋体"/>
          <w:szCs w:val="21"/>
        </w:rPr>
        <w:t>抽取样品应为同一型号规格、同一批次的产品。</w:t>
      </w:r>
    </w:p>
    <w:p w14:paraId="42D15239">
      <w:pPr>
        <w:pStyle w:val="50"/>
        <w:numPr>
          <w:ilvl w:val="0"/>
          <w:numId w:val="0"/>
        </w:numPr>
        <w:spacing w:beforeLines="0" w:afterLines="0" w:line="480" w:lineRule="exact"/>
        <w:rPr>
          <w:rFonts w:ascii="宋体" w:hAnsi="宋体" w:eastAsia="宋体" w:cs="宋体"/>
          <w:color w:val="FF0000"/>
        </w:rPr>
      </w:pPr>
      <w:r>
        <w:rPr>
          <w:rFonts w:hint="eastAsia" w:ascii="宋体" w:hAnsi="宋体" w:eastAsia="宋体" w:cs="宋体"/>
        </w:rPr>
        <w:t>5.2抽样方法、基数、数量及注意事项</w:t>
      </w:r>
    </w:p>
    <w:p w14:paraId="4A8EB3F8">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5.2.1抽样方法</w:t>
      </w:r>
    </w:p>
    <w:p w14:paraId="220ED3AD">
      <w:pPr>
        <w:snapToGrid w:val="0"/>
        <w:spacing w:line="480" w:lineRule="exact"/>
        <w:ind w:firstLine="420" w:firstLineChars="200"/>
        <w:rPr>
          <w:rFonts w:ascii="宋体" w:hAnsi="宋体" w:cs="宋体"/>
          <w:kern w:val="0"/>
          <w:szCs w:val="21"/>
        </w:rPr>
      </w:pPr>
      <w:r>
        <w:rPr>
          <w:rFonts w:hint="eastAsia" w:ascii="宋体" w:hAnsi="宋体" w:cs="宋体"/>
          <w:kern w:val="0"/>
          <w:szCs w:val="21"/>
        </w:rPr>
        <w:t>在企业成品库内或成品堆放区随机抽取有产品质量检验合格证明或者以其他形式表明合格的、近期生产的产品（特殊情况除外）。</w:t>
      </w:r>
    </w:p>
    <w:p w14:paraId="217CBA09">
      <w:pPr>
        <w:snapToGrid w:val="0"/>
        <w:spacing w:line="480" w:lineRule="exact"/>
        <w:ind w:firstLine="420" w:firstLineChars="200"/>
        <w:rPr>
          <w:rFonts w:ascii="宋体" w:hAnsi="宋体" w:cs="宋体"/>
          <w:kern w:val="0"/>
          <w:szCs w:val="21"/>
        </w:rPr>
      </w:pPr>
      <w:r>
        <w:rPr>
          <w:rFonts w:hint="eastAsia" w:ascii="宋体" w:hAnsi="宋体" w:cs="宋体"/>
          <w:kern w:val="0"/>
          <w:szCs w:val="21"/>
        </w:rPr>
        <w:t>在流通领域抽取经企业检验合格或以任何方式表明合格（合格证、合格报告、企业相关人员确认等方式均可）的、近期生产的产品。</w:t>
      </w:r>
    </w:p>
    <w:p w14:paraId="132760D4">
      <w:pPr>
        <w:spacing w:line="480" w:lineRule="exact"/>
        <w:ind w:firstLine="420" w:firstLineChars="200"/>
        <w:rPr>
          <w:rFonts w:ascii="宋体" w:hAnsi="宋体" w:cs="宋体"/>
          <w:kern w:val="0"/>
          <w:szCs w:val="21"/>
        </w:rPr>
      </w:pPr>
      <w:r>
        <w:rPr>
          <w:rFonts w:hint="eastAsia" w:ascii="宋体" w:hAnsi="宋体" w:cs="宋体"/>
          <w:kern w:val="0"/>
          <w:szCs w:val="21"/>
        </w:rPr>
        <w:t>在网络交易平台抽检，随机抽取有产品质量检验合格证明或者以其他形式表明合格的产品。</w:t>
      </w:r>
    </w:p>
    <w:p w14:paraId="2A7ACA03">
      <w:pPr>
        <w:spacing w:line="480" w:lineRule="exact"/>
        <w:ind w:firstLine="420" w:firstLineChars="200"/>
        <w:rPr>
          <w:rFonts w:ascii="宋体" w:hAnsi="宋体" w:cs="宋体"/>
          <w:color w:val="000000"/>
          <w:kern w:val="0"/>
          <w:szCs w:val="21"/>
        </w:rPr>
      </w:pPr>
      <w:r>
        <w:rPr>
          <w:rFonts w:hint="eastAsia" w:ascii="宋体" w:hAnsi="宋体" w:cs="宋体"/>
          <w:color w:val="000000"/>
          <w:kern w:val="0"/>
          <w:szCs w:val="21"/>
        </w:rPr>
        <w:t>随机数一般可使用随机数表、骰子或扑克牌等方法产生。</w:t>
      </w:r>
    </w:p>
    <w:p w14:paraId="35CE4CE9">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5.2.2抽样基数</w:t>
      </w:r>
    </w:p>
    <w:p w14:paraId="01BC43C3">
      <w:pPr>
        <w:snapToGrid w:val="0"/>
        <w:spacing w:line="480" w:lineRule="exact"/>
        <w:ind w:firstLine="420" w:firstLineChars="200"/>
        <w:rPr>
          <w:rFonts w:ascii="宋体" w:hAnsi="宋体" w:cs="宋体"/>
          <w:kern w:val="0"/>
          <w:szCs w:val="21"/>
        </w:rPr>
      </w:pPr>
      <w:r>
        <w:rPr>
          <w:rFonts w:hint="eastAsia" w:ascii="宋体" w:hAnsi="宋体" w:cs="宋体"/>
          <w:color w:val="000000"/>
          <w:kern w:val="0"/>
          <w:szCs w:val="21"/>
        </w:rPr>
        <w:t>抽样基数满足抽样数量即可。</w:t>
      </w:r>
    </w:p>
    <w:p w14:paraId="31544238">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5.2.3抽样数量</w:t>
      </w:r>
    </w:p>
    <w:p w14:paraId="48AABAC1">
      <w:pPr>
        <w:spacing w:line="480" w:lineRule="exact"/>
        <w:ind w:firstLine="420" w:firstLineChars="200"/>
        <w:rPr>
          <w:rFonts w:hint="eastAsia" w:ascii="宋体" w:hAnsi="宋体" w:eastAsia="宋体" w:cs="宋体"/>
          <w:kern w:val="0"/>
          <w:szCs w:val="21"/>
          <w:lang w:val="en-US" w:eastAsia="zh-CN"/>
        </w:rPr>
      </w:pPr>
      <w:r>
        <w:rPr>
          <w:rFonts w:hint="eastAsia" w:ascii="宋体" w:hAnsi="宋体" w:cs="宋体"/>
          <w:kern w:val="0"/>
          <w:szCs w:val="21"/>
        </w:rPr>
        <w:t>生产领域</w:t>
      </w:r>
      <w:r>
        <w:rPr>
          <w:rFonts w:hint="eastAsia" w:ascii="宋体" w:hAnsi="宋体" w:cs="宋体"/>
          <w:kern w:val="0"/>
          <w:szCs w:val="21"/>
          <w:lang w:eastAsia="zh-CN"/>
        </w:rPr>
        <w:t>、</w:t>
      </w:r>
      <w:r>
        <w:rPr>
          <w:rFonts w:hint="eastAsia" w:ascii="宋体" w:hAnsi="宋体" w:cs="宋体"/>
          <w:kern w:val="0"/>
          <w:szCs w:val="21"/>
        </w:rPr>
        <w:t>流通领域（实体店）</w:t>
      </w:r>
      <w:r>
        <w:rPr>
          <w:rFonts w:hint="eastAsia" w:ascii="宋体" w:hAnsi="宋体" w:cs="宋体"/>
          <w:kern w:val="0"/>
          <w:szCs w:val="21"/>
          <w:lang w:eastAsia="zh-CN"/>
        </w:rPr>
        <w:t>、</w:t>
      </w:r>
      <w:r>
        <w:rPr>
          <w:rFonts w:hint="eastAsia" w:ascii="宋体" w:hAnsi="宋体" w:cs="宋体"/>
          <w:kern w:val="0"/>
          <w:szCs w:val="21"/>
        </w:rPr>
        <w:t>流通领域（网络交易平台）</w:t>
      </w:r>
      <w:r>
        <w:rPr>
          <w:rFonts w:hint="eastAsia" w:ascii="宋体" w:hAnsi="宋体" w:cs="宋体"/>
          <w:kern w:val="0"/>
          <w:szCs w:val="21"/>
        </w:rPr>
        <w:t>：每批次产品抽取</w:t>
      </w:r>
      <w:r>
        <w:rPr>
          <w:rFonts w:hint="eastAsia" w:ascii="宋体" w:hAnsi="宋体" w:cs="宋体"/>
          <w:kern w:val="0"/>
          <w:szCs w:val="21"/>
          <w:lang w:val="en-US" w:eastAsia="zh-CN"/>
        </w:rPr>
        <w:t>3个</w:t>
      </w:r>
      <w:r>
        <w:rPr>
          <w:rFonts w:hint="eastAsia" w:ascii="宋体" w:hAnsi="宋体" w:cs="宋体"/>
          <w:kern w:val="0"/>
          <w:szCs w:val="21"/>
        </w:rPr>
        <w:t>，其中</w:t>
      </w:r>
      <w:r>
        <w:rPr>
          <w:rFonts w:hint="eastAsia" w:ascii="宋体" w:hAnsi="宋体" w:cs="宋体"/>
          <w:kern w:val="0"/>
          <w:szCs w:val="21"/>
          <w:lang w:val="en-US" w:eastAsia="zh-CN"/>
        </w:rPr>
        <w:t>2</w:t>
      </w:r>
      <w:r>
        <w:rPr>
          <w:rFonts w:hint="eastAsia" w:ascii="宋体" w:hAnsi="宋体" w:cs="宋体"/>
          <w:kern w:val="0"/>
          <w:szCs w:val="21"/>
          <w:lang w:eastAsia="zh-CN"/>
        </w:rPr>
        <w:t>个</w:t>
      </w:r>
      <w:r>
        <w:rPr>
          <w:rFonts w:hint="eastAsia" w:ascii="宋体" w:hAnsi="宋体" w:cs="宋体"/>
          <w:kern w:val="0"/>
          <w:szCs w:val="21"/>
        </w:rPr>
        <w:t>作为检验样品，1</w:t>
      </w:r>
      <w:r>
        <w:rPr>
          <w:rFonts w:hint="eastAsia" w:ascii="宋体" w:hAnsi="宋体" w:cs="宋体"/>
          <w:kern w:val="0"/>
          <w:szCs w:val="21"/>
          <w:lang w:eastAsia="zh-CN"/>
        </w:rPr>
        <w:t>个</w:t>
      </w:r>
      <w:r>
        <w:rPr>
          <w:rFonts w:hint="eastAsia" w:ascii="宋体" w:hAnsi="宋体" w:cs="宋体"/>
          <w:kern w:val="0"/>
          <w:szCs w:val="21"/>
        </w:rPr>
        <w:t>作为备用样品</w:t>
      </w:r>
      <w:r>
        <w:rPr>
          <w:rFonts w:hint="eastAsia" w:ascii="宋体" w:hAnsi="宋体" w:cs="宋体"/>
          <w:kern w:val="0"/>
          <w:szCs w:val="21"/>
          <w:lang w:eastAsia="zh-CN"/>
        </w:rPr>
        <w:t>。</w:t>
      </w:r>
    </w:p>
    <w:p w14:paraId="5933C8F7">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5.2.4注意事项</w:t>
      </w:r>
    </w:p>
    <w:p w14:paraId="04A4ABD9">
      <w:pPr>
        <w:spacing w:line="480" w:lineRule="exact"/>
        <w:ind w:firstLine="420" w:firstLineChars="200"/>
        <w:rPr>
          <w:rFonts w:ascii="宋体" w:hAnsi="宋体" w:cs="宋体"/>
          <w:kern w:val="0"/>
          <w:szCs w:val="21"/>
        </w:rPr>
      </w:pPr>
      <w:r>
        <w:rPr>
          <w:rFonts w:hint="eastAsia" w:ascii="宋体" w:hAnsi="宋体" w:cs="宋体"/>
          <w:kern w:val="0"/>
          <w:szCs w:val="21"/>
        </w:rPr>
        <w:t xml:space="preserve">抽样人员应当使用规定的抽样文书记录抽样信息，并对抽样场所、贮存环境、被抽样产品的标识、库存数量、抽样过程等通过拍照或者录像的方式留存证据。 </w:t>
      </w:r>
    </w:p>
    <w:p w14:paraId="71DAD11A">
      <w:pPr>
        <w:spacing w:line="480" w:lineRule="exact"/>
        <w:ind w:firstLine="420" w:firstLineChars="200"/>
        <w:rPr>
          <w:rFonts w:ascii="宋体" w:hAnsi="宋体" w:cs="宋体"/>
          <w:kern w:val="0"/>
          <w:szCs w:val="21"/>
        </w:rPr>
      </w:pPr>
      <w:r>
        <w:rPr>
          <w:rFonts w:ascii="宋体" w:hAnsi="宋体" w:cs="宋体"/>
          <w:kern w:val="0"/>
          <w:szCs w:val="21"/>
        </w:rPr>
        <w:t>抽样人员应在加贴封条前后对抽取的样品进行拍照。样品加贴封条前，对产品外观、外包装、产品标签、产品合格证等四个方面进行拍照，拍取的照片应能清晰反映所抽样品的生产单位名称、样品名称、型号规格、抽样日期、执行标准等信息内容。</w:t>
      </w:r>
      <w:r>
        <w:rPr>
          <w:rFonts w:hint="eastAsia" w:ascii="宋体" w:hAnsi="宋体" w:cs="宋体"/>
          <w:kern w:val="0"/>
          <w:szCs w:val="21"/>
        </w:rPr>
        <w:t>样品加贴封条后，对检验样品和备用样品进行拍照，拍取的照片应能够反映出样品加贴封条完好的全貌；若一张照片无法反映样品和封条细节，需分别拍摄多张照片。</w:t>
      </w:r>
      <w:r>
        <w:rPr>
          <w:rFonts w:ascii="宋体" w:hAnsi="宋体" w:cs="宋体"/>
          <w:kern w:val="0"/>
          <w:szCs w:val="21"/>
        </w:rPr>
        <w:t>照片由抽样人员传送至检验机构，检验机构出具检验报告时应将样品照片</w:t>
      </w:r>
      <w:r>
        <w:rPr>
          <w:rFonts w:hint="eastAsia" w:ascii="仿宋_GB2312" w:hAnsi="仿宋_GB2312" w:eastAsia="仿宋_GB2312" w:cs="仿宋_GB2312"/>
          <w:kern w:val="0"/>
          <w:szCs w:val="21"/>
        </w:rPr>
        <w:t>［</w:t>
      </w:r>
      <w:r>
        <w:rPr>
          <w:rFonts w:ascii="宋体" w:hAnsi="宋体" w:cs="宋体"/>
          <w:kern w:val="0"/>
          <w:szCs w:val="21"/>
        </w:rPr>
        <w:t>外观、外包装、产品标签、产品合格证（如能取到时）、加贴封条的样品等照片</w:t>
      </w:r>
      <w:r>
        <w:rPr>
          <w:rFonts w:hint="eastAsia" w:ascii="仿宋_GB2312" w:hAnsi="仿宋_GB2312" w:eastAsia="仿宋_GB2312" w:cs="仿宋_GB2312"/>
          <w:kern w:val="0"/>
          <w:szCs w:val="21"/>
        </w:rPr>
        <w:t>］</w:t>
      </w:r>
      <w:r>
        <w:rPr>
          <w:rFonts w:ascii="宋体" w:hAnsi="宋体" w:cs="宋体"/>
          <w:kern w:val="0"/>
          <w:szCs w:val="21"/>
        </w:rPr>
        <w:t>纳入报告中。</w:t>
      </w:r>
    </w:p>
    <w:p w14:paraId="282DE7E7">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5.3样品处置</w:t>
      </w:r>
    </w:p>
    <w:p w14:paraId="3B786491">
      <w:pPr>
        <w:spacing w:line="480" w:lineRule="exact"/>
        <w:rPr>
          <w:rFonts w:ascii="宋体" w:hAnsi="宋体" w:cs="宋体"/>
          <w:szCs w:val="21"/>
        </w:rPr>
      </w:pPr>
      <w:r>
        <w:rPr>
          <w:rFonts w:hint="eastAsia" w:ascii="宋体" w:hAnsi="宋体" w:cs="宋体"/>
          <w:szCs w:val="21"/>
        </w:rPr>
        <w:t>5.3.1检样和备样应分别签封，并在封条与样品处或样品外包装处进行骑缝签名。</w:t>
      </w:r>
      <w:r>
        <w:rPr>
          <w:rFonts w:hint="eastAsia" w:ascii="宋体" w:hAnsi="宋体" w:cs="宋体"/>
        </w:rPr>
        <w:t>为保证样品的真实性，要有相应的防拆封措施，并保证封条在运输过程中不会破损。</w:t>
      </w:r>
      <w:r>
        <w:rPr>
          <w:rFonts w:hint="eastAsia" w:ascii="宋体" w:hAnsi="宋体" w:cs="宋体"/>
          <w:szCs w:val="21"/>
        </w:rPr>
        <w:t>生产领域及流通领域中抽取的检样由抽样人员带回检验机构，备样</w:t>
      </w:r>
      <w:r>
        <w:rPr>
          <w:rFonts w:hint="eastAsia" w:ascii="宋体" w:hAnsi="宋体" w:cs="宋体"/>
          <w:kern w:val="0"/>
          <w:szCs w:val="21"/>
        </w:rPr>
        <w:t>封存于受检单位；网络交易平台抽取的检样及备样均由抽样人员带回检验机构</w:t>
      </w:r>
      <w:r>
        <w:rPr>
          <w:rFonts w:hint="eastAsia" w:ascii="宋体" w:hAnsi="宋体" w:cs="宋体"/>
          <w:szCs w:val="21"/>
        </w:rPr>
        <w:t>。</w:t>
      </w:r>
    </w:p>
    <w:p w14:paraId="7CD9AFE4">
      <w:pPr>
        <w:spacing w:line="480" w:lineRule="exact"/>
        <w:rPr>
          <w:rFonts w:ascii="宋体" w:hAnsi="宋体" w:cs="宋体"/>
          <w:color w:val="000000"/>
          <w:szCs w:val="21"/>
        </w:rPr>
      </w:pPr>
      <w:r>
        <w:rPr>
          <w:rFonts w:hint="eastAsia" w:ascii="宋体" w:hAnsi="宋体" w:cs="宋体"/>
          <w:szCs w:val="21"/>
        </w:rPr>
        <w:t>5.3.2</w:t>
      </w:r>
      <w:r>
        <w:rPr>
          <w:rFonts w:hint="eastAsia" w:ascii="宋体" w:hAnsi="宋体" w:cs="宋体"/>
          <w:color w:val="000000"/>
          <w:szCs w:val="21"/>
        </w:rPr>
        <w:t>抽取的样品按运输条件进行包装，以保证在运送和保存时不受重压、潮湿、雨淋、暴晒或与油及酸、碱等腐蚀性物质接触。</w:t>
      </w:r>
    </w:p>
    <w:p w14:paraId="675CDE6A">
      <w:pPr>
        <w:snapToGrid w:val="0"/>
        <w:spacing w:line="480" w:lineRule="exact"/>
        <w:rPr>
          <w:rFonts w:ascii="宋体" w:hAnsi="宋体" w:cs="宋体"/>
          <w:szCs w:val="21"/>
        </w:rPr>
      </w:pPr>
      <w:r>
        <w:rPr>
          <w:rFonts w:hint="eastAsia" w:ascii="宋体" w:hAnsi="宋体" w:cs="宋体"/>
          <w:szCs w:val="21"/>
        </w:rPr>
        <w:t>5.3.3</w:t>
      </w:r>
      <w:r>
        <w:rPr>
          <w:rFonts w:hint="eastAsia" w:ascii="宋体" w:hAnsi="宋体" w:cs="宋体"/>
          <w:color w:val="000000"/>
          <w:szCs w:val="21"/>
        </w:rPr>
        <w:t>如产品包装或说明书等材料上标明特殊储存或搬运要求，样品应按要求进行处理。</w:t>
      </w:r>
    </w:p>
    <w:p w14:paraId="724F7026">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5.4抽样单</w:t>
      </w:r>
    </w:p>
    <w:p w14:paraId="6051B3F4">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5.4.1生产领域</w:t>
      </w:r>
    </w:p>
    <w:p w14:paraId="7B0EE7F1">
      <w:pPr>
        <w:pStyle w:val="16"/>
        <w:spacing w:line="480" w:lineRule="exact"/>
        <w:rPr>
          <w:rFonts w:hAnsi="宋体" w:cs="宋体"/>
          <w:color w:val="000000"/>
          <w:szCs w:val="21"/>
        </w:rPr>
      </w:pPr>
      <w:r>
        <w:rPr>
          <w:rFonts w:hint="eastAsia" w:hAnsi="宋体" w:cs="宋体"/>
          <w:color w:val="000000"/>
          <w:szCs w:val="21"/>
        </w:rPr>
        <w:t>应按有关规定填写抽样单，并记录被抽查产品及受检单位相关信息。同时记录受检单位上一年度生产的相关产品销售量及销售总额（以万元计）；若受检单位上一年度未生产或销售，则记录本年度实际销售量及销售总额，并加以注明。对于产品检验所需的样品技术参数等信息，需要受检单位提供的，应在抽样现场获取，并经受检单位确认。抽样单需有抽样人及受检单位代表双方签字，并加盖受检单位公章。对特殊情况，双方签字盖手印确认即可。</w:t>
      </w:r>
    </w:p>
    <w:p w14:paraId="45030659">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5.4.2流通领域（实体店）</w:t>
      </w:r>
    </w:p>
    <w:p w14:paraId="12D5579A">
      <w:pPr>
        <w:spacing w:line="480" w:lineRule="exact"/>
        <w:ind w:firstLine="420" w:firstLineChars="200"/>
        <w:rPr>
          <w:rFonts w:ascii="宋体" w:hAnsi="宋体" w:cs="宋体"/>
          <w:color w:val="000000"/>
          <w:szCs w:val="21"/>
        </w:rPr>
      </w:pPr>
      <w:r>
        <w:rPr>
          <w:rFonts w:hint="eastAsia" w:ascii="宋体" w:hAnsi="宋体" w:cs="宋体"/>
          <w:color w:val="000000"/>
          <w:szCs w:val="21"/>
        </w:rPr>
        <w:t>应按有关规定填写抽样单，并记录被抽查产品及受检单位相关信息。同时记录受检单位所抽产品的进货量和库存量，以对应产品的单位计；记录受检单位所抽产品的销售单价，以元计。对于产品检验所需的样品技术参数包括被抽查产品的依据标准等信息，应在抽样现场获取，并经受检单位确认。抽样单需有抽样人及受检单位代表双方签字，并加盖受检单位公章。对特殊情况，双方签字盖手印确认即可。</w:t>
      </w:r>
    </w:p>
    <w:p w14:paraId="3B0DF10D">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5.4.3流通领域（网络交易平台）</w:t>
      </w:r>
    </w:p>
    <w:p w14:paraId="337179D1">
      <w:pPr>
        <w:snapToGrid w:val="0"/>
        <w:spacing w:line="480" w:lineRule="exact"/>
        <w:ind w:firstLine="420" w:firstLineChars="200"/>
        <w:rPr>
          <w:rFonts w:ascii="宋体" w:hAnsi="宋体"/>
          <w:szCs w:val="21"/>
        </w:rPr>
      </w:pPr>
      <w:r>
        <w:rPr>
          <w:rFonts w:hint="eastAsia"/>
          <w:szCs w:val="21"/>
        </w:rPr>
        <w:t>应按有关规定填写抽样单，并记录被抽查产品及受检单位相关信息。</w:t>
      </w:r>
      <w:r>
        <w:rPr>
          <w:rFonts w:hint="eastAsia"/>
        </w:rPr>
        <w:t>向商家索取发票，并保留购样聊天记录等电子凭证。</w:t>
      </w:r>
    </w:p>
    <w:p w14:paraId="4DD1582D">
      <w:pPr>
        <w:pStyle w:val="68"/>
        <w:numPr>
          <w:ilvl w:val="0"/>
          <w:numId w:val="0"/>
        </w:numPr>
        <w:spacing w:beforeLines="0" w:afterLines="0" w:line="480" w:lineRule="exact"/>
      </w:pPr>
    </w:p>
    <w:p w14:paraId="77070517">
      <w:pPr>
        <w:pStyle w:val="68"/>
        <w:numPr>
          <w:ilvl w:val="0"/>
          <w:numId w:val="0"/>
        </w:numPr>
        <w:spacing w:beforeLines="0" w:afterLines="0" w:line="480" w:lineRule="exact"/>
      </w:pPr>
      <w:r>
        <w:rPr>
          <w:rFonts w:hint="eastAsia"/>
        </w:rPr>
        <w:t>6 检验要求</w:t>
      </w:r>
    </w:p>
    <w:p w14:paraId="19574901">
      <w:pPr>
        <w:pStyle w:val="16"/>
        <w:spacing w:line="480" w:lineRule="exact"/>
      </w:pPr>
      <w:r>
        <w:rPr>
          <w:rFonts w:hint="eastAsia"/>
          <w:lang w:eastAsia="zh-CN"/>
        </w:rPr>
        <w:t>儿童玩具</w:t>
      </w:r>
      <w:r>
        <w:rPr>
          <w:rFonts w:hint="eastAsia"/>
        </w:rPr>
        <w:t>的检验项目见表1。</w:t>
      </w:r>
    </w:p>
    <w:p w14:paraId="36B4E487">
      <w:pPr>
        <w:pStyle w:val="95"/>
        <w:spacing w:beforeLines="0" w:afterLines="0" w:line="480" w:lineRule="exact"/>
        <w:ind w:left="0"/>
        <w:rPr>
          <w:rFonts w:ascii="宋体" w:hAnsi="宋体"/>
          <w:szCs w:val="21"/>
        </w:rPr>
      </w:pPr>
      <w:r>
        <w:rPr>
          <w:rFonts w:hint="eastAsia" w:hAnsi="黑体" w:cs="黑体"/>
          <w:szCs w:val="21"/>
        </w:rPr>
        <w:t>表1</w:t>
      </w:r>
      <w:r>
        <w:rPr>
          <w:rFonts w:hint="eastAsia" w:ascii="宋体" w:hAnsi="宋体"/>
          <w:szCs w:val="21"/>
        </w:rPr>
        <w:t xml:space="preserve">  </w:t>
      </w:r>
      <w:r>
        <w:rPr>
          <w:rFonts w:hint="eastAsia" w:ascii="宋体" w:hAnsi="宋体"/>
          <w:szCs w:val="21"/>
          <w:lang w:eastAsia="zh-CN"/>
        </w:rPr>
        <w:t>儿童玩具</w:t>
      </w:r>
      <w:r>
        <w:rPr>
          <w:rFonts w:hint="eastAsia" w:ascii="宋体" w:hAnsi="宋体"/>
          <w:szCs w:val="21"/>
        </w:rPr>
        <w:t>的检验项目、依据及方法等要求</w:t>
      </w:r>
    </w:p>
    <w:tbl>
      <w:tblPr>
        <w:tblStyle w:val="22"/>
        <w:tblW w:w="494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2"/>
        <w:gridCol w:w="3387"/>
        <w:gridCol w:w="2221"/>
        <w:gridCol w:w="2518"/>
      </w:tblGrid>
      <w:tr w14:paraId="24B70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519" w:type="pct"/>
            <w:tcBorders>
              <w:top w:val="single" w:color="auto" w:sz="4" w:space="0"/>
              <w:left w:val="single" w:color="auto" w:sz="4" w:space="0"/>
              <w:right w:val="single" w:color="auto" w:sz="4" w:space="0"/>
            </w:tcBorders>
            <w:vAlign w:val="center"/>
          </w:tcPr>
          <w:p w14:paraId="4C9B92C9">
            <w:pPr>
              <w:jc w:val="center"/>
            </w:pPr>
            <w:r>
              <w:rPr>
                <w:rFonts w:hint="eastAsia"/>
              </w:rPr>
              <w:t>序号</w:t>
            </w:r>
          </w:p>
        </w:tc>
        <w:tc>
          <w:tcPr>
            <w:tcW w:w="1867" w:type="pct"/>
            <w:tcBorders>
              <w:top w:val="single" w:color="auto" w:sz="4" w:space="0"/>
              <w:left w:val="single" w:color="auto" w:sz="4" w:space="0"/>
              <w:right w:val="single" w:color="auto" w:sz="4" w:space="0"/>
            </w:tcBorders>
            <w:vAlign w:val="center"/>
          </w:tcPr>
          <w:p w14:paraId="32666FD1">
            <w:pPr>
              <w:jc w:val="center"/>
            </w:pPr>
            <w:r>
              <w:rPr>
                <w:rFonts w:hint="eastAsia"/>
              </w:rPr>
              <w:t>检验项目</w:t>
            </w:r>
          </w:p>
        </w:tc>
        <w:tc>
          <w:tcPr>
            <w:tcW w:w="1224" w:type="pct"/>
            <w:tcBorders>
              <w:top w:val="single" w:color="auto" w:sz="4" w:space="0"/>
              <w:left w:val="single" w:color="auto" w:sz="4" w:space="0"/>
              <w:right w:val="single" w:color="auto" w:sz="4" w:space="0"/>
            </w:tcBorders>
            <w:vAlign w:val="center"/>
          </w:tcPr>
          <w:p w14:paraId="3FA5AC8A">
            <w:pPr>
              <w:jc w:val="center"/>
            </w:pPr>
            <w:r>
              <w:rPr>
                <w:rFonts w:hint="eastAsia"/>
              </w:rPr>
              <w:t>检验依据</w:t>
            </w:r>
          </w:p>
        </w:tc>
        <w:tc>
          <w:tcPr>
            <w:tcW w:w="1388" w:type="pct"/>
            <w:tcBorders>
              <w:top w:val="single" w:color="auto" w:sz="4" w:space="0"/>
              <w:left w:val="single" w:color="auto" w:sz="4" w:space="0"/>
              <w:right w:val="single" w:color="auto" w:sz="4" w:space="0"/>
            </w:tcBorders>
            <w:vAlign w:val="center"/>
          </w:tcPr>
          <w:p w14:paraId="0D224921">
            <w:pPr>
              <w:jc w:val="center"/>
            </w:pPr>
            <w:r>
              <w:rPr>
                <w:rFonts w:hint="eastAsia"/>
              </w:rPr>
              <w:t>检验方法</w:t>
            </w:r>
          </w:p>
        </w:tc>
      </w:tr>
      <w:tr w14:paraId="5FBC5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14:paraId="171A37FF">
            <w:pPr>
              <w:jc w:val="center"/>
            </w:pPr>
            <w:r>
              <w:rPr>
                <w:rFonts w:hint="eastAsia"/>
              </w:rPr>
              <w:t>1</w:t>
            </w:r>
          </w:p>
        </w:tc>
        <w:tc>
          <w:tcPr>
            <w:tcW w:w="1867" w:type="pct"/>
            <w:tcBorders>
              <w:top w:val="single" w:color="auto" w:sz="4" w:space="0"/>
              <w:left w:val="single" w:color="auto" w:sz="4" w:space="0"/>
              <w:bottom w:val="single" w:color="auto" w:sz="4" w:space="0"/>
              <w:right w:val="single" w:color="auto" w:sz="4" w:space="0"/>
            </w:tcBorders>
            <w:vAlign w:val="center"/>
          </w:tcPr>
          <w:p w14:paraId="35FE35A6">
            <w:pPr>
              <w:jc w:val="center"/>
              <w:rPr>
                <w:rFonts w:hint="eastAsia" w:ascii="Times New Roman" w:hAnsi="Times New Roman" w:eastAsia="宋体" w:cs="Times New Roman"/>
              </w:rPr>
            </w:pPr>
            <w:r>
              <w:rPr>
                <w:rFonts w:hint="eastAsia" w:ascii="Times New Roman" w:hAnsi="Times New Roman" w:eastAsia="宋体" w:cs="Times New Roman"/>
              </w:rPr>
              <w:t>特定元素的迁移</w:t>
            </w:r>
          </w:p>
        </w:tc>
        <w:tc>
          <w:tcPr>
            <w:tcW w:w="1224" w:type="pct"/>
            <w:vMerge w:val="restart"/>
            <w:tcBorders>
              <w:top w:val="single" w:color="auto" w:sz="4" w:space="0"/>
              <w:left w:val="single" w:color="auto" w:sz="4" w:space="0"/>
              <w:right w:val="single" w:color="auto" w:sz="4" w:space="0"/>
            </w:tcBorders>
            <w:vAlign w:val="center"/>
          </w:tcPr>
          <w:p w14:paraId="613D69ED">
            <w:pPr>
              <w:jc w:val="center"/>
              <w:rPr>
                <w:rFonts w:hint="eastAsia" w:ascii="Times New Roman" w:hAnsi="Times New Roman" w:eastAsia="宋体" w:cs="Times New Roman"/>
              </w:rPr>
            </w:pPr>
            <w:r>
              <w:rPr>
                <w:rFonts w:hint="eastAsia" w:ascii="Times New Roman" w:hAnsi="Times New Roman" w:eastAsia="宋体" w:cs="Times New Roman"/>
              </w:rPr>
              <w:t>GB6675.1—2014</w:t>
            </w:r>
          </w:p>
          <w:p w14:paraId="4DB6137A">
            <w:pPr>
              <w:jc w:val="center"/>
              <w:rPr>
                <w:rFonts w:hint="eastAsia" w:ascii="Times New Roman" w:hAnsi="Times New Roman" w:eastAsia="宋体" w:cs="Times New Roman"/>
              </w:rPr>
            </w:pPr>
            <w:r>
              <w:rPr>
                <w:rFonts w:hint="eastAsia" w:ascii="Times New Roman" w:hAnsi="Times New Roman" w:eastAsia="宋体" w:cs="Times New Roman"/>
              </w:rPr>
              <w:t>GB6675.2—2014</w:t>
            </w:r>
          </w:p>
          <w:p w14:paraId="3033AE25">
            <w:pPr>
              <w:jc w:val="center"/>
              <w:rPr>
                <w:rFonts w:hint="eastAsia" w:ascii="Times New Roman" w:hAnsi="Times New Roman" w:eastAsia="宋体" w:cs="Times New Roman"/>
              </w:rPr>
            </w:pPr>
            <w:r>
              <w:rPr>
                <w:rFonts w:hint="eastAsia" w:ascii="Times New Roman" w:hAnsi="Times New Roman" w:eastAsia="宋体" w:cs="Times New Roman"/>
              </w:rPr>
              <w:t>GB6675.3—2014</w:t>
            </w:r>
          </w:p>
          <w:p w14:paraId="1E9AB14E">
            <w:pPr>
              <w:jc w:val="center"/>
              <w:rPr>
                <w:rFonts w:hint="eastAsia" w:ascii="Times New Roman" w:hAnsi="Times New Roman" w:eastAsia="宋体" w:cs="Times New Roman"/>
              </w:rPr>
            </w:pPr>
            <w:r>
              <w:rPr>
                <w:rFonts w:hint="eastAsia" w:ascii="Times New Roman" w:hAnsi="Times New Roman" w:eastAsia="宋体" w:cs="Times New Roman"/>
              </w:rPr>
              <w:t>GB6675.4—2014</w:t>
            </w:r>
          </w:p>
          <w:p w14:paraId="3936508C">
            <w:pPr>
              <w:jc w:val="center"/>
              <w:rPr>
                <w:rFonts w:hint="eastAsia" w:ascii="Times New Roman" w:hAnsi="Times New Roman" w:eastAsia="宋体" w:cs="Times New Roman"/>
              </w:rPr>
            </w:pPr>
            <w:r>
              <w:rPr>
                <w:rFonts w:hint="eastAsia" w:ascii="Times New Roman" w:hAnsi="Times New Roman" w:eastAsia="宋体" w:cs="Times New Roman"/>
              </w:rPr>
              <w:t>GB19865—2005</w:t>
            </w:r>
          </w:p>
        </w:tc>
        <w:tc>
          <w:tcPr>
            <w:tcW w:w="1388" w:type="pct"/>
            <w:tcBorders>
              <w:top w:val="single" w:color="auto" w:sz="4" w:space="0"/>
              <w:left w:val="single" w:color="auto" w:sz="4" w:space="0"/>
              <w:bottom w:val="single" w:color="auto" w:sz="4" w:space="0"/>
              <w:right w:val="single" w:color="auto" w:sz="4" w:space="0"/>
            </w:tcBorders>
            <w:vAlign w:val="center"/>
          </w:tcPr>
          <w:p w14:paraId="0D5D159E">
            <w:pPr>
              <w:jc w:val="center"/>
              <w:rPr>
                <w:rFonts w:hint="eastAsia" w:ascii="Times New Roman" w:hAnsi="Times New Roman" w:eastAsia="宋体" w:cs="Times New Roman"/>
              </w:rPr>
            </w:pPr>
            <w:r>
              <w:rPr>
                <w:rFonts w:hint="eastAsia" w:ascii="Times New Roman" w:hAnsi="Times New Roman" w:eastAsia="宋体" w:cs="Times New Roman"/>
              </w:rPr>
              <w:t>GB6675.4—2014</w:t>
            </w:r>
          </w:p>
        </w:tc>
      </w:tr>
      <w:tr w14:paraId="210DB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14:paraId="641D3F62">
            <w:pPr>
              <w:jc w:val="center"/>
              <w:rPr>
                <w:rFonts w:hint="eastAsia" w:eastAsia="宋体"/>
                <w:lang w:val="en-US" w:eastAsia="zh-CN"/>
              </w:rPr>
            </w:pPr>
            <w:r>
              <w:rPr>
                <w:rFonts w:hint="eastAsia"/>
                <w:lang w:val="en-US" w:eastAsia="zh-CN"/>
              </w:rPr>
              <w:t>2</w:t>
            </w:r>
          </w:p>
        </w:tc>
        <w:tc>
          <w:tcPr>
            <w:tcW w:w="1867" w:type="pct"/>
            <w:tcBorders>
              <w:top w:val="single" w:color="auto" w:sz="4" w:space="0"/>
              <w:left w:val="single" w:color="auto" w:sz="4" w:space="0"/>
              <w:bottom w:val="single" w:color="auto" w:sz="4" w:space="0"/>
              <w:right w:val="single" w:color="auto" w:sz="4" w:space="0"/>
            </w:tcBorders>
            <w:vAlign w:val="center"/>
          </w:tcPr>
          <w:p w14:paraId="53C91F9B">
            <w:pPr>
              <w:jc w:val="center"/>
              <w:rPr>
                <w:rFonts w:hint="eastAsia" w:ascii="Times New Roman" w:hAnsi="Times New Roman" w:eastAsia="宋体" w:cs="Times New Roman"/>
              </w:rPr>
            </w:pPr>
            <w:r>
              <w:rPr>
                <w:rFonts w:hint="eastAsia" w:ascii="Times New Roman" w:hAnsi="Times New Roman" w:eastAsia="宋体" w:cs="Times New Roman"/>
              </w:rPr>
              <w:t>易燃性能</w:t>
            </w:r>
          </w:p>
        </w:tc>
        <w:tc>
          <w:tcPr>
            <w:tcW w:w="1224" w:type="pct"/>
            <w:vMerge w:val="continue"/>
            <w:tcBorders>
              <w:left w:val="single" w:color="auto" w:sz="4" w:space="0"/>
              <w:right w:val="single" w:color="auto" w:sz="4" w:space="0"/>
            </w:tcBorders>
            <w:vAlign w:val="center"/>
          </w:tcPr>
          <w:p w14:paraId="60F2BEEA">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vAlign w:val="center"/>
          </w:tcPr>
          <w:p w14:paraId="51F69BD5">
            <w:pPr>
              <w:jc w:val="center"/>
              <w:rPr>
                <w:rFonts w:hint="eastAsia" w:ascii="Times New Roman" w:hAnsi="Times New Roman" w:eastAsia="宋体" w:cs="Times New Roman"/>
              </w:rPr>
            </w:pPr>
            <w:r>
              <w:rPr>
                <w:rFonts w:hint="eastAsia" w:ascii="Times New Roman" w:hAnsi="Times New Roman" w:eastAsia="宋体" w:cs="Times New Roman"/>
              </w:rPr>
              <w:t>GB6675.3—2014</w:t>
            </w:r>
          </w:p>
        </w:tc>
      </w:tr>
      <w:tr w14:paraId="23CF9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14:paraId="03ECDF0F">
            <w:pPr>
              <w:jc w:val="center"/>
              <w:rPr>
                <w:rFonts w:hint="eastAsia" w:eastAsia="宋体"/>
                <w:lang w:val="en-US" w:eastAsia="zh-CN"/>
              </w:rPr>
            </w:pPr>
            <w:r>
              <w:rPr>
                <w:rFonts w:hint="eastAsia"/>
                <w:lang w:val="en-US" w:eastAsia="zh-CN"/>
              </w:rPr>
              <w:t>3</w:t>
            </w:r>
          </w:p>
        </w:tc>
        <w:tc>
          <w:tcPr>
            <w:tcW w:w="1867" w:type="pct"/>
            <w:tcBorders>
              <w:top w:val="single" w:color="auto" w:sz="4" w:space="0"/>
              <w:left w:val="single" w:color="auto" w:sz="4" w:space="0"/>
              <w:bottom w:val="single" w:color="auto" w:sz="4" w:space="0"/>
              <w:right w:val="single" w:color="auto" w:sz="4" w:space="0"/>
            </w:tcBorders>
            <w:vAlign w:val="center"/>
          </w:tcPr>
          <w:p w14:paraId="73239656">
            <w:pPr>
              <w:jc w:val="center"/>
              <w:rPr>
                <w:rFonts w:hint="eastAsia" w:ascii="Times New Roman" w:hAnsi="Times New Roman" w:eastAsia="宋体" w:cs="Times New Roman"/>
              </w:rPr>
            </w:pPr>
            <w:r>
              <w:rPr>
                <w:rFonts w:hint="eastAsia" w:ascii="Times New Roman" w:hAnsi="Times New Roman" w:eastAsia="宋体" w:cs="Times New Roman"/>
              </w:rPr>
              <w:t>机械与物理性能</w:t>
            </w:r>
          </w:p>
        </w:tc>
        <w:tc>
          <w:tcPr>
            <w:tcW w:w="1224" w:type="pct"/>
            <w:vMerge w:val="continue"/>
            <w:tcBorders>
              <w:left w:val="single" w:color="auto" w:sz="4" w:space="0"/>
              <w:right w:val="single" w:color="auto" w:sz="4" w:space="0"/>
            </w:tcBorders>
            <w:vAlign w:val="center"/>
          </w:tcPr>
          <w:p w14:paraId="0579F9B7">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vAlign w:val="center"/>
          </w:tcPr>
          <w:p w14:paraId="22255275">
            <w:pPr>
              <w:jc w:val="center"/>
              <w:rPr>
                <w:rFonts w:hint="eastAsia" w:ascii="Times New Roman" w:hAnsi="Times New Roman" w:eastAsia="宋体" w:cs="Times New Roman"/>
              </w:rPr>
            </w:pPr>
            <w:r>
              <w:rPr>
                <w:rFonts w:hint="eastAsia" w:ascii="Times New Roman" w:hAnsi="Times New Roman" w:eastAsia="宋体" w:cs="Times New Roman"/>
              </w:rPr>
              <w:t>GB6675.2—2014</w:t>
            </w:r>
          </w:p>
        </w:tc>
      </w:tr>
      <w:tr w14:paraId="7AA25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bottom w:val="single" w:color="auto" w:sz="4" w:space="0"/>
              <w:right w:val="single" w:color="auto" w:sz="4" w:space="0"/>
            </w:tcBorders>
            <w:vAlign w:val="center"/>
          </w:tcPr>
          <w:p w14:paraId="5F015C0A">
            <w:pPr>
              <w:jc w:val="center"/>
              <w:rPr>
                <w:rFonts w:hint="eastAsia" w:eastAsia="宋体"/>
                <w:lang w:val="en-US" w:eastAsia="zh-CN"/>
              </w:rPr>
            </w:pPr>
            <w:r>
              <w:rPr>
                <w:rFonts w:hint="eastAsia"/>
                <w:lang w:val="en-US" w:eastAsia="zh-CN"/>
              </w:rPr>
              <w:t>4</w:t>
            </w:r>
          </w:p>
        </w:tc>
        <w:tc>
          <w:tcPr>
            <w:tcW w:w="1867" w:type="pct"/>
            <w:tcBorders>
              <w:top w:val="single" w:color="auto" w:sz="4" w:space="0"/>
              <w:left w:val="single" w:color="auto" w:sz="4" w:space="0"/>
              <w:bottom w:val="single" w:color="auto" w:sz="4" w:space="0"/>
              <w:right w:val="single" w:color="auto" w:sz="4" w:space="0"/>
            </w:tcBorders>
            <w:vAlign w:val="center"/>
          </w:tcPr>
          <w:p w14:paraId="786E0ABB">
            <w:pPr>
              <w:jc w:val="center"/>
              <w:rPr>
                <w:rFonts w:hint="eastAsia" w:ascii="Times New Roman" w:hAnsi="Times New Roman" w:eastAsia="宋体" w:cs="Times New Roman"/>
              </w:rPr>
            </w:pPr>
            <w:r>
              <w:rPr>
                <w:rFonts w:hint="eastAsia" w:ascii="Times New Roman" w:hAnsi="Times New Roman" w:eastAsia="宋体" w:cs="Times New Roman"/>
              </w:rPr>
              <w:t>增塑剂</w:t>
            </w:r>
          </w:p>
        </w:tc>
        <w:tc>
          <w:tcPr>
            <w:tcW w:w="1224" w:type="pct"/>
            <w:vMerge w:val="continue"/>
            <w:tcBorders>
              <w:left w:val="single" w:color="auto" w:sz="4" w:space="0"/>
              <w:right w:val="single" w:color="auto" w:sz="4" w:space="0"/>
            </w:tcBorders>
            <w:vAlign w:val="center"/>
          </w:tcPr>
          <w:p w14:paraId="72FCAFC6">
            <w:pPr>
              <w:jc w:val="center"/>
              <w:rPr>
                <w:rFonts w:hint="eastAsia" w:ascii="Times New Roman" w:hAnsi="Times New Roman" w:eastAsia="宋体" w:cs="Times New Roman"/>
              </w:rPr>
            </w:pPr>
          </w:p>
        </w:tc>
        <w:tc>
          <w:tcPr>
            <w:tcW w:w="1388" w:type="pct"/>
            <w:tcBorders>
              <w:top w:val="single" w:color="auto" w:sz="4" w:space="0"/>
              <w:left w:val="single" w:color="auto" w:sz="4" w:space="0"/>
              <w:bottom w:val="single" w:color="auto" w:sz="4" w:space="0"/>
              <w:right w:val="single" w:color="auto" w:sz="4" w:space="0"/>
            </w:tcBorders>
            <w:vAlign w:val="center"/>
          </w:tcPr>
          <w:p w14:paraId="7A5E82FC">
            <w:pPr>
              <w:jc w:val="center"/>
              <w:rPr>
                <w:rFonts w:hint="eastAsia" w:ascii="Times New Roman" w:hAnsi="Times New Roman" w:eastAsia="宋体" w:cs="Times New Roman"/>
              </w:rPr>
            </w:pPr>
            <w:r>
              <w:rPr>
                <w:rFonts w:hint="eastAsia" w:ascii="Times New Roman" w:hAnsi="Times New Roman" w:eastAsia="宋体" w:cs="Times New Roman"/>
              </w:rPr>
              <w:t>GB/T22048—2022</w:t>
            </w:r>
          </w:p>
        </w:tc>
      </w:tr>
      <w:tr w14:paraId="59B54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right w:val="single" w:color="auto" w:sz="4" w:space="0"/>
            </w:tcBorders>
            <w:vAlign w:val="center"/>
          </w:tcPr>
          <w:p w14:paraId="0D51D758">
            <w:pPr>
              <w:jc w:val="center"/>
              <w:rPr>
                <w:rFonts w:hint="eastAsia" w:eastAsia="宋体"/>
                <w:lang w:val="en-US" w:eastAsia="zh-CN"/>
              </w:rPr>
            </w:pPr>
            <w:r>
              <w:rPr>
                <w:rFonts w:hint="eastAsia"/>
                <w:lang w:val="en-US" w:eastAsia="zh-CN"/>
              </w:rPr>
              <w:t>5</w:t>
            </w:r>
          </w:p>
        </w:tc>
        <w:tc>
          <w:tcPr>
            <w:tcW w:w="1867" w:type="pct"/>
            <w:tcBorders>
              <w:top w:val="single" w:color="auto" w:sz="4" w:space="0"/>
              <w:left w:val="single" w:color="auto" w:sz="4" w:space="0"/>
              <w:bottom w:val="single" w:color="auto" w:sz="4" w:space="0"/>
              <w:right w:val="single" w:color="auto" w:sz="4" w:space="0"/>
            </w:tcBorders>
            <w:vAlign w:val="center"/>
          </w:tcPr>
          <w:p w14:paraId="20BC54E2">
            <w:pPr>
              <w:jc w:val="center"/>
              <w:rPr>
                <w:rFonts w:hint="eastAsia" w:ascii="Times New Roman" w:hAnsi="Times New Roman" w:eastAsia="宋体" w:cs="Times New Roman"/>
              </w:rPr>
            </w:pPr>
            <w:r>
              <w:rPr>
                <w:rFonts w:hint="eastAsia" w:ascii="Times New Roman" w:hAnsi="Times New Roman" w:eastAsia="宋体" w:cs="Times New Roman"/>
              </w:rPr>
              <w:t>电性能</w:t>
            </w:r>
          </w:p>
        </w:tc>
        <w:tc>
          <w:tcPr>
            <w:tcW w:w="1224" w:type="pct"/>
            <w:vMerge w:val="continue"/>
            <w:tcBorders>
              <w:left w:val="single" w:color="auto" w:sz="4" w:space="0"/>
              <w:right w:val="single" w:color="auto" w:sz="4" w:space="0"/>
            </w:tcBorders>
            <w:vAlign w:val="center"/>
          </w:tcPr>
          <w:p w14:paraId="7AB2BA8F">
            <w:pPr>
              <w:jc w:val="center"/>
              <w:rPr>
                <w:rFonts w:hint="eastAsia" w:ascii="Times New Roman" w:hAnsi="Times New Roman" w:eastAsia="宋体" w:cs="Times New Roman"/>
              </w:rPr>
            </w:pPr>
          </w:p>
        </w:tc>
        <w:tc>
          <w:tcPr>
            <w:tcW w:w="1388" w:type="pct"/>
            <w:tcBorders>
              <w:top w:val="single" w:color="auto" w:sz="4" w:space="0"/>
              <w:left w:val="single" w:color="auto" w:sz="4" w:space="0"/>
              <w:right w:val="single" w:color="auto" w:sz="4" w:space="0"/>
            </w:tcBorders>
            <w:vAlign w:val="center"/>
          </w:tcPr>
          <w:p w14:paraId="44B768CB">
            <w:pPr>
              <w:jc w:val="center"/>
              <w:rPr>
                <w:rFonts w:hint="eastAsia" w:ascii="Times New Roman" w:hAnsi="Times New Roman" w:eastAsia="宋体" w:cs="Times New Roman"/>
              </w:rPr>
            </w:pPr>
            <w:r>
              <w:rPr>
                <w:rFonts w:hint="eastAsia" w:ascii="Times New Roman" w:hAnsi="Times New Roman" w:eastAsia="宋体" w:cs="Times New Roman"/>
              </w:rPr>
              <w:t>GB19865—2005</w:t>
            </w:r>
          </w:p>
        </w:tc>
      </w:tr>
    </w:tbl>
    <w:p w14:paraId="1D93DC51">
      <w:pPr>
        <w:pStyle w:val="68"/>
        <w:numPr>
          <w:ilvl w:val="0"/>
          <w:numId w:val="0"/>
        </w:numPr>
        <w:spacing w:beforeLines="0" w:afterLines="0" w:line="480" w:lineRule="exact"/>
      </w:pPr>
    </w:p>
    <w:p w14:paraId="138D2D24">
      <w:pPr>
        <w:pStyle w:val="68"/>
        <w:numPr>
          <w:ilvl w:val="0"/>
          <w:numId w:val="0"/>
        </w:numPr>
        <w:spacing w:beforeLines="0" w:afterLines="0" w:line="480" w:lineRule="exact"/>
      </w:pPr>
      <w:r>
        <w:rPr>
          <w:rFonts w:hint="eastAsia"/>
        </w:rPr>
        <w:t>7 判定原则</w:t>
      </w:r>
    </w:p>
    <w:p w14:paraId="6246FDF0">
      <w:pPr>
        <w:snapToGrid w:val="0"/>
        <w:spacing w:line="480" w:lineRule="exact"/>
        <w:ind w:firstLine="420" w:firstLineChars="200"/>
        <w:rPr>
          <w:rFonts w:ascii="宋体" w:hAnsi="宋体"/>
          <w:szCs w:val="21"/>
        </w:rPr>
      </w:pPr>
      <w:r>
        <w:rPr>
          <w:rFonts w:hint="eastAsia" w:ascii="宋体" w:hAnsi="宋体"/>
          <w:szCs w:val="21"/>
        </w:rPr>
        <w:t>若被检产品明示的质量要求高于本细则中检验项目依据的标准要求时，应按被检产品明示的质量要求判定。</w:t>
      </w:r>
    </w:p>
    <w:p w14:paraId="14D7EDAE">
      <w:pPr>
        <w:snapToGrid w:val="0"/>
        <w:spacing w:line="480" w:lineRule="exact"/>
        <w:ind w:firstLine="420" w:firstLineChars="200"/>
        <w:rPr>
          <w:rFonts w:ascii="宋体" w:hAnsi="宋体"/>
          <w:szCs w:val="21"/>
        </w:rPr>
      </w:pPr>
      <w:r>
        <w:rPr>
          <w:rFonts w:hint="eastAsia" w:ascii="宋体" w:hAnsi="宋体"/>
          <w:szCs w:val="21"/>
        </w:rPr>
        <w:t>若被检产品明示的质量要求低于本细则中检验项目依据的强制性标准要求时，应按照强制性标准要求判定。</w:t>
      </w:r>
    </w:p>
    <w:p w14:paraId="622E94C1">
      <w:pPr>
        <w:snapToGrid w:val="0"/>
        <w:spacing w:line="480" w:lineRule="exact"/>
        <w:ind w:firstLine="420" w:firstLineChars="200"/>
        <w:rPr>
          <w:rFonts w:ascii="宋体" w:hAnsi="宋体"/>
          <w:szCs w:val="21"/>
        </w:rPr>
      </w:pPr>
      <w:r>
        <w:rPr>
          <w:rFonts w:hint="eastAsia" w:ascii="宋体" w:hAnsi="宋体"/>
          <w:szCs w:val="21"/>
        </w:rPr>
        <w:t>若被检产品明示的质量要求低于或包含细则中检验项目依据的推荐性标准要求时，应以被检产品明示的质量要求判定。</w:t>
      </w:r>
    </w:p>
    <w:p w14:paraId="640084BE">
      <w:pPr>
        <w:snapToGrid w:val="0"/>
        <w:spacing w:line="480" w:lineRule="exact"/>
        <w:ind w:firstLine="420" w:firstLineChars="200"/>
        <w:rPr>
          <w:rFonts w:ascii="宋体" w:hAnsi="宋体"/>
          <w:szCs w:val="21"/>
        </w:rPr>
      </w:pPr>
      <w:r>
        <w:rPr>
          <w:rFonts w:hint="eastAsia" w:ascii="宋体" w:hAnsi="宋体"/>
          <w:szCs w:val="21"/>
        </w:rPr>
        <w:t>若被检产品明示的质量要求缺少本细则中检验项目依据的强制性标准要求时，应按照强制性标准要求判定。</w:t>
      </w:r>
    </w:p>
    <w:p w14:paraId="4FE43560">
      <w:pPr>
        <w:widowControl/>
        <w:spacing w:line="480" w:lineRule="exact"/>
        <w:ind w:firstLine="420" w:firstLineChars="200"/>
        <w:jc w:val="left"/>
        <w:rPr>
          <w:rFonts w:ascii="宋体" w:hAnsi="宋体"/>
          <w:szCs w:val="21"/>
        </w:rPr>
      </w:pPr>
      <w:r>
        <w:rPr>
          <w:rFonts w:hint="eastAsia" w:ascii="宋体" w:hAnsi="宋体"/>
          <w:szCs w:val="21"/>
        </w:rPr>
        <w:t>若被检产品明示的质量要求缺少本细则中检验项目依据的推荐性标准要求时，该项目不参与判定，但应在检验报告备注中进行说明。</w:t>
      </w:r>
    </w:p>
    <w:p w14:paraId="6719C832">
      <w:pPr>
        <w:widowControl/>
        <w:spacing w:line="480" w:lineRule="exact"/>
        <w:jc w:val="left"/>
        <w:rPr>
          <w:rFonts w:ascii="宋体" w:hAnsi="宋体"/>
          <w:szCs w:val="21"/>
        </w:rPr>
      </w:pPr>
      <w:r>
        <w:rPr>
          <w:rFonts w:hint="eastAsia" w:ascii="宋体" w:hAnsi="宋体"/>
          <w:szCs w:val="21"/>
        </w:rPr>
        <w:t>7.1</w:t>
      </w:r>
      <w:r>
        <w:rPr>
          <w:rFonts w:hint="eastAsia" w:ascii="宋体" w:hAnsi="宋体"/>
          <w:bCs/>
          <w:color w:val="000000"/>
          <w:szCs w:val="21"/>
        </w:rPr>
        <w:t>当产品所检项目全部符合执行标准要求，检验报告中的检验结论表述为：“依据</w:t>
      </w:r>
      <w:r>
        <w:rPr>
          <w:rFonts w:hint="eastAsia" w:ascii="宋体" w:hAnsi="宋体" w:cs="Sim Sun"/>
          <w:color w:val="000000"/>
          <w:kern w:val="0"/>
          <w:szCs w:val="21"/>
        </w:rPr>
        <w:t>xxxx</w:t>
      </w:r>
      <w:r>
        <w:rPr>
          <w:rFonts w:hint="eastAsia" w:ascii="宋体" w:hAnsi="宋体"/>
          <w:bCs/>
          <w:color w:val="000000"/>
          <w:szCs w:val="21"/>
        </w:rPr>
        <w:t>〔xxxx〕xx号文中《</w:t>
      </w:r>
      <w:r>
        <w:rPr>
          <w:rFonts w:hint="eastAsia" w:ascii="宋体" w:hAnsi="宋体" w:cs="Sim Sun"/>
          <w:kern w:val="0"/>
          <w:szCs w:val="21"/>
        </w:rPr>
        <w:t>2025年</w:t>
      </w:r>
      <w:r>
        <w:rPr>
          <w:rFonts w:hint="eastAsia" w:ascii="宋体" w:hAnsi="宋体" w:cs="Sim Sun"/>
          <w:kern w:val="0"/>
          <w:szCs w:val="21"/>
          <w:lang w:eastAsia="zh-CN"/>
        </w:rPr>
        <w:t>儿童玩具</w:t>
      </w:r>
      <w:r>
        <w:rPr>
          <w:rFonts w:hint="eastAsia" w:ascii="宋体" w:hAnsi="宋体" w:cs="Sim Sun"/>
          <w:kern w:val="0"/>
          <w:szCs w:val="21"/>
        </w:rPr>
        <w:t>产品质量柳州市监督抽查实施细则</w:t>
      </w:r>
      <w:r>
        <w:rPr>
          <w:rFonts w:hint="eastAsia" w:ascii="宋体" w:hAnsi="宋体"/>
          <w:bCs/>
          <w:color w:val="000000"/>
          <w:szCs w:val="21"/>
        </w:rPr>
        <w:t>》要求，对所抽样品的xx个项目进行了检验，检验结果符合标准号《标准名称》要求。综合判定：该产品本次监督抽查合格。”</w:t>
      </w:r>
      <w:r>
        <w:rPr>
          <w:rFonts w:hint="eastAsia" w:ascii="宋体" w:hAnsi="宋体"/>
          <w:szCs w:val="21"/>
        </w:rPr>
        <w:t xml:space="preserve"> </w:t>
      </w:r>
    </w:p>
    <w:p w14:paraId="5C88BD37">
      <w:pPr>
        <w:widowControl/>
        <w:spacing w:line="480" w:lineRule="exact"/>
        <w:jc w:val="left"/>
        <w:rPr>
          <w:rFonts w:ascii="宋体" w:hAnsi="宋体"/>
          <w:szCs w:val="21"/>
        </w:rPr>
      </w:pPr>
      <w:r>
        <w:rPr>
          <w:rFonts w:hint="eastAsia" w:ascii="宋体" w:hAnsi="宋体"/>
          <w:szCs w:val="21"/>
        </w:rPr>
        <w:t>7.2</w:t>
      </w:r>
      <w:r>
        <w:rPr>
          <w:rFonts w:hint="eastAsia" w:ascii="宋体" w:hAnsi="宋体"/>
          <w:bCs/>
          <w:color w:val="000000"/>
          <w:szCs w:val="21"/>
        </w:rPr>
        <w:t>当所检项目有一项或一项以上不符合执行标准要求，检验报告中的检验结论表述为：“依据</w:t>
      </w:r>
      <w:r>
        <w:rPr>
          <w:rFonts w:hint="eastAsia" w:ascii="宋体" w:hAnsi="宋体" w:cs="Sim Sun"/>
          <w:color w:val="000000"/>
          <w:kern w:val="0"/>
          <w:szCs w:val="21"/>
        </w:rPr>
        <w:t>xxxx</w:t>
      </w:r>
      <w:r>
        <w:rPr>
          <w:rFonts w:hint="eastAsia" w:ascii="宋体" w:hAnsi="宋体"/>
          <w:bCs/>
          <w:color w:val="000000"/>
          <w:szCs w:val="21"/>
        </w:rPr>
        <w:t>〔xxxx〕xx号文中《</w:t>
      </w:r>
      <w:r>
        <w:rPr>
          <w:rFonts w:hint="eastAsia" w:ascii="宋体" w:hAnsi="宋体" w:cs="Sim Sun"/>
          <w:kern w:val="0"/>
          <w:szCs w:val="21"/>
        </w:rPr>
        <w:t>2025年</w:t>
      </w:r>
      <w:r>
        <w:rPr>
          <w:rFonts w:hint="eastAsia" w:ascii="宋体" w:hAnsi="宋体" w:cs="Sim Sun"/>
          <w:kern w:val="0"/>
          <w:szCs w:val="21"/>
          <w:lang w:eastAsia="zh-CN"/>
        </w:rPr>
        <w:t>儿童玩具</w:t>
      </w:r>
      <w:r>
        <w:rPr>
          <w:rFonts w:hint="eastAsia" w:ascii="宋体" w:hAnsi="宋体" w:cs="Sim Sun"/>
          <w:kern w:val="0"/>
          <w:szCs w:val="21"/>
        </w:rPr>
        <w:t>产品质量柳州市监督抽查实施细则</w:t>
      </w:r>
      <w:r>
        <w:rPr>
          <w:rFonts w:hint="eastAsia" w:ascii="宋体" w:hAnsi="宋体"/>
          <w:bCs/>
          <w:color w:val="000000"/>
          <w:szCs w:val="21"/>
        </w:rPr>
        <w:t>》要求，对所抽样品的xx个项目进行了检验，其中xx、xx项目的检验结果不符合标准号《标准名称》要求。综合判定：该产品本次监督抽查不合格。”</w:t>
      </w:r>
      <w:r>
        <w:rPr>
          <w:rFonts w:hint="eastAsia" w:ascii="宋体" w:hAnsi="宋体"/>
          <w:szCs w:val="21"/>
        </w:rPr>
        <w:t xml:space="preserve"> </w:t>
      </w:r>
    </w:p>
    <w:p w14:paraId="6D7763E5">
      <w:pPr>
        <w:snapToGrid w:val="0"/>
        <w:spacing w:line="480" w:lineRule="exact"/>
        <w:ind w:firstLine="420" w:firstLineChars="200"/>
        <w:rPr>
          <w:rFonts w:ascii="宋体" w:hAnsi="宋体"/>
          <w:bCs/>
          <w:color w:val="000000"/>
          <w:szCs w:val="21"/>
        </w:rPr>
      </w:pPr>
      <w:r>
        <w:rPr>
          <w:rFonts w:hint="eastAsia" w:ascii="宋体" w:hAnsi="宋体"/>
          <w:bCs/>
          <w:color w:val="000000"/>
          <w:szCs w:val="21"/>
        </w:rPr>
        <w:t>注：若产品标准有推荐性国家标准或者行业标准，而企业执行自己的企业标准，若抽查项目在企业标准中规定又低于推荐性国家标准或行业标准，所检项目有一项或一项以上低于国家、行业、地方推荐性标准要求（含国家、行业、地方强制性标准中的推荐性条款）时，在使用企业标准作出合格或不合格结论的同时，在“备注”栏中说明：该产品本次监督抽查检验，xx项目不符合xx标准号《国家（行业、地方）标准名称》要求。</w:t>
      </w:r>
    </w:p>
    <w:p w14:paraId="45064C9A">
      <w:pPr>
        <w:snapToGrid w:val="0"/>
        <w:spacing w:line="480" w:lineRule="exact"/>
        <w:rPr>
          <w:rFonts w:ascii="黑体" w:hAnsi="宋体" w:eastAsia="黑体"/>
          <w:szCs w:val="21"/>
        </w:rPr>
      </w:pPr>
    </w:p>
    <w:p w14:paraId="06FED15C">
      <w:pPr>
        <w:snapToGrid w:val="0"/>
        <w:spacing w:line="480" w:lineRule="exact"/>
        <w:rPr>
          <w:rFonts w:ascii="黑体" w:hAnsi="宋体" w:eastAsia="黑体"/>
          <w:szCs w:val="21"/>
        </w:rPr>
      </w:pPr>
      <w:r>
        <w:rPr>
          <w:rFonts w:hint="eastAsia" w:ascii="黑体" w:hAnsi="宋体" w:eastAsia="黑体"/>
          <w:szCs w:val="21"/>
        </w:rPr>
        <w:t>8</w:t>
      </w:r>
      <w:r>
        <w:rPr>
          <w:rFonts w:ascii="黑体" w:hAnsi="宋体" w:eastAsia="黑体"/>
          <w:szCs w:val="21"/>
        </w:rPr>
        <w:t xml:space="preserve"> </w:t>
      </w:r>
      <w:r>
        <w:rPr>
          <w:rFonts w:hint="eastAsia" w:ascii="黑体" w:hAnsi="宋体" w:eastAsia="黑体"/>
          <w:szCs w:val="21"/>
        </w:rPr>
        <w:t>异议处理</w:t>
      </w:r>
    </w:p>
    <w:p w14:paraId="724FDB54">
      <w:pPr>
        <w:widowControl/>
        <w:spacing w:line="480" w:lineRule="exact"/>
        <w:ind w:firstLine="420" w:firstLineChars="200"/>
        <w:jc w:val="left"/>
        <w:rPr>
          <w:rFonts w:ascii="宋体" w:hAnsi="宋体"/>
          <w:szCs w:val="21"/>
        </w:rPr>
      </w:pPr>
      <w:r>
        <w:rPr>
          <w:rFonts w:hint="eastAsia" w:ascii="宋体" w:hAnsi="宋体"/>
          <w:szCs w:val="21"/>
        </w:rPr>
        <w:t>对判定不合格产品进行复检时，按以下方式进行：</w:t>
      </w:r>
    </w:p>
    <w:p w14:paraId="576583DC">
      <w:pPr>
        <w:widowControl/>
        <w:spacing w:line="480" w:lineRule="exact"/>
        <w:jc w:val="left"/>
        <w:rPr>
          <w:rFonts w:ascii="宋体" w:hAnsi="宋体"/>
          <w:szCs w:val="21"/>
        </w:rPr>
      </w:pPr>
      <w:r>
        <w:rPr>
          <w:rFonts w:hint="eastAsia" w:ascii="宋体" w:hAnsi="宋体"/>
          <w:szCs w:val="21"/>
        </w:rPr>
        <w:t>8.1 核查不合格项目相关证据，能够以记录（纸质记录或电子记录或影像记录）或与不合格项目相关联的其它质量数据等检验证据证明</w:t>
      </w:r>
      <w:r>
        <w:rPr>
          <w:rFonts w:hint="eastAsia" w:ascii="宋体" w:hAnsi="宋体" w:cs="宋体"/>
          <w:bCs/>
        </w:rPr>
        <w:t>的，由监督抽查组织部门根据核查情况作出异议处理决定。</w:t>
      </w:r>
    </w:p>
    <w:p w14:paraId="5CBFD7F0">
      <w:pPr>
        <w:widowControl/>
        <w:spacing w:line="480" w:lineRule="exact"/>
        <w:jc w:val="left"/>
        <w:rPr>
          <w:rFonts w:ascii="仿宋_GB2312" w:eastAsia="仿宋_GB2312"/>
          <w:sz w:val="44"/>
          <w:szCs w:val="44"/>
        </w:rPr>
      </w:pPr>
      <w:r>
        <w:rPr>
          <w:rFonts w:hint="eastAsia" w:ascii="宋体" w:hAnsi="宋体"/>
          <w:szCs w:val="21"/>
        </w:rPr>
        <w:t>8.2 对需要复检并具备检验条件的，</w:t>
      </w:r>
      <w:r>
        <w:rPr>
          <w:rFonts w:hint="eastAsia" w:ascii="宋体" w:hAnsi="宋体" w:cs="宋体"/>
          <w:bCs/>
        </w:rPr>
        <w:t>监督抽查组织部门</w:t>
      </w:r>
      <w:r>
        <w:rPr>
          <w:rFonts w:hint="eastAsia" w:ascii="宋体" w:hAnsi="宋体"/>
          <w:bCs/>
          <w:szCs w:val="21"/>
        </w:rPr>
        <w:t>按照《产品质量监督抽查管理暂行办法》要求组织复检机构</w:t>
      </w:r>
      <w:r>
        <w:rPr>
          <w:rFonts w:hint="eastAsia" w:ascii="宋体" w:hAnsi="宋体"/>
          <w:color w:val="000000"/>
          <w:szCs w:val="21"/>
        </w:rPr>
        <w:t>对</w:t>
      </w:r>
      <w:r>
        <w:rPr>
          <w:rFonts w:hint="eastAsia"/>
          <w:color w:val="000000"/>
          <w:szCs w:val="21"/>
        </w:rPr>
        <w:t>抽取的备用</w:t>
      </w:r>
      <w:r>
        <w:rPr>
          <w:rFonts w:hint="eastAsia" w:ascii="宋体" w:hAnsi="宋体"/>
          <w:color w:val="000000"/>
          <w:szCs w:val="21"/>
        </w:rPr>
        <w:t>样品</w:t>
      </w:r>
      <w:r>
        <w:rPr>
          <w:rFonts w:hint="eastAsia"/>
          <w:color w:val="000000"/>
          <w:szCs w:val="21"/>
        </w:rPr>
        <w:t>进行</w:t>
      </w:r>
      <w:r>
        <w:rPr>
          <w:rFonts w:hint="eastAsia" w:ascii="宋体" w:hAnsi="宋体"/>
          <w:color w:val="000000"/>
          <w:szCs w:val="21"/>
        </w:rPr>
        <w:t>复检</w:t>
      </w:r>
      <w:r>
        <w:rPr>
          <w:rFonts w:hint="eastAsia" w:ascii="宋体" w:hAnsi="宋体"/>
          <w:bCs/>
          <w:szCs w:val="21"/>
        </w:rPr>
        <w:t>，并出具检验报告。复检结论为最终结论。</w:t>
      </w:r>
    </w:p>
    <w:p w14:paraId="51455049">
      <w:pPr>
        <w:rPr>
          <w:rFonts w:ascii="仿宋_GB2312" w:eastAsia="仿宋_GB2312"/>
          <w:sz w:val="44"/>
          <w:szCs w:val="44"/>
        </w:rPr>
      </w:pPr>
    </w:p>
    <w:sectPr>
      <w:headerReference r:id="rId3" w:type="default"/>
      <w:footerReference r:id="rId4" w:type="default"/>
      <w:footerReference r:id="rId5" w:type="even"/>
      <w:pgSz w:w="11906" w:h="16838"/>
      <w:pgMar w:top="1134" w:right="1474" w:bottom="1134" w:left="1474" w:header="851" w:footer="851" w:gutter="0"/>
      <w:pgNumType w:fmt="numberInDas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PMingLiU">
    <w:altName w:val="Microsoft JhengHei UI"/>
    <w:panose1 w:val="02010601000101010101"/>
    <w:charset w:val="88"/>
    <w:family w:val="auto"/>
    <w:pitch w:val="default"/>
    <w:sig w:usb0="00000000" w:usb1="00000000" w:usb2="00000010" w:usb3="00000000" w:csb0="00100000" w:csb1="00000000"/>
  </w:font>
  <w:font w:name="Arial Unicode MS">
    <w:altName w:val="Arial"/>
    <w:panose1 w:val="00000000000000000000"/>
    <w:charset w:val="00"/>
    <w:family w:val="auto"/>
    <w:pitch w:val="default"/>
    <w:sig w:usb0="00000000" w:usb1="00000000" w:usb2="00000000" w:usb3="00000000" w:csb0="00000000" w:csb1="00000000"/>
  </w:font>
  <w:font w:name="Sim Sun">
    <w:altName w:val="宋体"/>
    <w:panose1 w:val="00000000000000000000"/>
    <w:charset w:val="86"/>
    <w:family w:val="swiss"/>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DA7970">
    <w:pPr>
      <w:pStyle w:val="12"/>
      <w:jc w:val="center"/>
      <w:rPr>
        <w:rFonts w:ascii="宋体" w:hAnsi="宋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A1CCCC2">
                          <w:pPr>
                            <w:pStyle w:val="12"/>
                            <w:jc w:val="cente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w:t>
                          </w:r>
                          <w:r>
                            <w:rPr>
                              <w:rFonts w:ascii="宋体" w:hAnsi="宋体"/>
                              <w:sz w:val="21"/>
                              <w:szCs w:val="21"/>
                            </w:rPr>
                            <w:t xml:space="preserve"> 5 -</w:t>
                          </w:r>
                          <w:r>
                            <w:rPr>
                              <w:rFonts w:ascii="宋体" w:hAnsi="宋体"/>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7A1CCCC2">
                    <w:pPr>
                      <w:pStyle w:val="12"/>
                      <w:jc w:val="cente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w:t>
                    </w:r>
                    <w:r>
                      <w:rPr>
                        <w:rFonts w:ascii="宋体" w:hAnsi="宋体"/>
                        <w:sz w:val="21"/>
                        <w:szCs w:val="21"/>
                      </w:rPr>
                      <w:t xml:space="preserve"> 5 -</w:t>
                    </w:r>
                    <w:r>
                      <w:rPr>
                        <w:rFonts w:ascii="宋体" w:hAnsi="宋体"/>
                        <w:sz w:val="21"/>
                        <w:szCs w:val="21"/>
                      </w:rPr>
                      <w:fldChar w:fldCharType="end"/>
                    </w:r>
                  </w:p>
                </w:txbxContent>
              </v:textbox>
            </v:shape>
          </w:pict>
        </mc:Fallback>
      </mc:AlternateContent>
    </w:r>
  </w:p>
  <w:p w14:paraId="149384E1">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FDCFCA">
    <w:pPr>
      <w:pStyle w:val="12"/>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F4EA32A">
                          <w:pPr>
                            <w:pStyle w:val="12"/>
                            <w:jc w:val="center"/>
                            <w:rPr>
                              <w:rStyle w:val="26"/>
                              <w:rFonts w:ascii="宋体" w:hAnsi="宋体"/>
                              <w:sz w:val="28"/>
                              <w:szCs w:val="28"/>
                            </w:rPr>
                          </w:pPr>
                          <w:r>
                            <w:rPr>
                              <w:rStyle w:val="26"/>
                              <w:rFonts w:ascii="宋体" w:hAnsi="宋体"/>
                              <w:sz w:val="21"/>
                              <w:szCs w:val="21"/>
                            </w:rPr>
                            <w:fldChar w:fldCharType="begin"/>
                          </w:r>
                          <w:r>
                            <w:rPr>
                              <w:rStyle w:val="26"/>
                              <w:rFonts w:ascii="宋体" w:hAnsi="宋体"/>
                              <w:sz w:val="21"/>
                              <w:szCs w:val="21"/>
                            </w:rPr>
                            <w:instrText xml:space="preserve">PAGE  </w:instrText>
                          </w:r>
                          <w:r>
                            <w:rPr>
                              <w:rStyle w:val="26"/>
                              <w:rFonts w:ascii="宋体" w:hAnsi="宋体"/>
                              <w:sz w:val="21"/>
                              <w:szCs w:val="21"/>
                            </w:rPr>
                            <w:fldChar w:fldCharType="separate"/>
                          </w:r>
                          <w:r>
                            <w:rPr>
                              <w:rStyle w:val="26"/>
                              <w:rFonts w:ascii="宋体" w:hAnsi="宋体"/>
                              <w:sz w:val="21"/>
                              <w:szCs w:val="21"/>
                            </w:rPr>
                            <w:t>- 4 -</w:t>
                          </w:r>
                          <w:r>
                            <w:rPr>
                              <w:rStyle w:val="26"/>
                              <w:rFonts w:ascii="宋体" w:hAnsi="宋体"/>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14:paraId="4F4EA32A">
                    <w:pPr>
                      <w:pStyle w:val="12"/>
                      <w:jc w:val="center"/>
                      <w:rPr>
                        <w:rStyle w:val="26"/>
                        <w:rFonts w:ascii="宋体" w:hAnsi="宋体"/>
                        <w:sz w:val="28"/>
                        <w:szCs w:val="28"/>
                      </w:rPr>
                    </w:pPr>
                    <w:r>
                      <w:rPr>
                        <w:rStyle w:val="26"/>
                        <w:rFonts w:ascii="宋体" w:hAnsi="宋体"/>
                        <w:sz w:val="21"/>
                        <w:szCs w:val="21"/>
                      </w:rPr>
                      <w:fldChar w:fldCharType="begin"/>
                    </w:r>
                    <w:r>
                      <w:rPr>
                        <w:rStyle w:val="26"/>
                        <w:rFonts w:ascii="宋体" w:hAnsi="宋体"/>
                        <w:sz w:val="21"/>
                        <w:szCs w:val="21"/>
                      </w:rPr>
                      <w:instrText xml:space="preserve">PAGE  </w:instrText>
                    </w:r>
                    <w:r>
                      <w:rPr>
                        <w:rStyle w:val="26"/>
                        <w:rFonts w:ascii="宋体" w:hAnsi="宋体"/>
                        <w:sz w:val="21"/>
                        <w:szCs w:val="21"/>
                      </w:rPr>
                      <w:fldChar w:fldCharType="separate"/>
                    </w:r>
                    <w:r>
                      <w:rPr>
                        <w:rStyle w:val="26"/>
                        <w:rFonts w:ascii="宋体" w:hAnsi="宋体"/>
                        <w:sz w:val="21"/>
                        <w:szCs w:val="21"/>
                      </w:rPr>
                      <w:t>- 4 -</w:t>
                    </w:r>
                    <w:r>
                      <w:rPr>
                        <w:rStyle w:val="26"/>
                        <w:rFonts w:ascii="宋体" w:hAnsi="宋体"/>
                        <w:sz w:val="21"/>
                        <w:szCs w:val="2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D42BDD">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69"/>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43"/>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DDE2B46"/>
    <w:multiLevelType w:val="multilevel"/>
    <w:tmpl w:val="0DDE2B46"/>
    <w:lvl w:ilvl="0" w:tentative="0">
      <w:start w:val="1"/>
      <w:numFmt w:val="lowerLetter"/>
      <w:pStyle w:val="105"/>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3">
    <w:nsid w:val="1DBF583A"/>
    <w:multiLevelType w:val="multilevel"/>
    <w:tmpl w:val="1DBF583A"/>
    <w:lvl w:ilvl="0" w:tentative="0">
      <w:start w:val="1"/>
      <w:numFmt w:val="decimal"/>
      <w:pStyle w:val="100"/>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4">
    <w:nsid w:val="1FC91163"/>
    <w:multiLevelType w:val="multilevel"/>
    <w:tmpl w:val="1FC91163"/>
    <w:lvl w:ilvl="0" w:tentative="0">
      <w:start w:val="1"/>
      <w:numFmt w:val="decimal"/>
      <w:pStyle w:val="68"/>
      <w:suff w:val="nothing"/>
      <w:lvlText w:val="%1　"/>
      <w:lvlJc w:val="left"/>
      <w:pPr>
        <w:ind w:left="0" w:firstLine="0"/>
      </w:pPr>
      <w:rPr>
        <w:rFonts w:hint="eastAsia" w:ascii="黑体" w:hAnsi="Times New Roman" w:eastAsia="黑体"/>
        <w:b w:val="0"/>
        <w:i w:val="0"/>
        <w:color w:val="auto"/>
        <w:sz w:val="21"/>
        <w:szCs w:val="21"/>
      </w:rPr>
    </w:lvl>
    <w:lvl w:ilvl="1" w:tentative="0">
      <w:start w:val="1"/>
      <w:numFmt w:val="decimal"/>
      <w:pStyle w:val="50"/>
      <w:suff w:val="nothing"/>
      <w:lvlText w:val="%1.%2　"/>
      <w:lvlJc w:val="left"/>
      <w:pPr>
        <w:ind w:left="525" w:firstLine="0"/>
      </w:pPr>
      <w:rPr>
        <w:rFonts w:hint="eastAsia" w:ascii="黑体" w:hAnsi="Times New Roman" w:eastAsia="黑体" w:cs="Times New Roman"/>
        <w:b w:val="0"/>
        <w:bCs w:val="0"/>
        <w:i w:val="0"/>
        <w:iCs w:val="0"/>
        <w:caps w:val="0"/>
        <w:strike w:val="0"/>
        <w:dstrike w:val="0"/>
        <w:outline w:val="0"/>
        <w:shadow w:val="0"/>
        <w:emboss w:val="0"/>
        <w:imprint w:val="0"/>
        <w:vanish w:val="0"/>
        <w:color w:val="auto"/>
        <w:spacing w:val="0"/>
        <w:kern w:val="0"/>
        <w:position w:val="0"/>
        <w:sz w:val="21"/>
        <w:szCs w:val="21"/>
        <w:u w:val="none"/>
        <w:vertAlign w:val="baseline"/>
      </w:rPr>
    </w:lvl>
    <w:lvl w:ilvl="2" w:tentative="0">
      <w:start w:val="1"/>
      <w:numFmt w:val="decimal"/>
      <w:pStyle w:val="49"/>
      <w:suff w:val="nothing"/>
      <w:lvlText w:val="%1.%2.%3　"/>
      <w:lvlJc w:val="left"/>
      <w:pPr>
        <w:ind w:left="0" w:firstLine="0"/>
      </w:pPr>
      <w:rPr>
        <w:rFonts w:hint="eastAsia" w:ascii="黑体" w:hAnsi="Times New Roman" w:eastAsia="黑体"/>
        <w:b w:val="0"/>
        <w:i w:val="0"/>
        <w:sz w:val="21"/>
      </w:rPr>
    </w:lvl>
    <w:lvl w:ilvl="3" w:tentative="0">
      <w:start w:val="1"/>
      <w:numFmt w:val="decimal"/>
      <w:pStyle w:val="48"/>
      <w:suff w:val="nothing"/>
      <w:lvlText w:val="%1.%2.%3.%4　"/>
      <w:lvlJc w:val="left"/>
      <w:pPr>
        <w:ind w:left="735" w:firstLine="0"/>
      </w:pPr>
      <w:rPr>
        <w:rFonts w:hint="eastAsia" w:ascii="黑体" w:hAnsi="Times New Roman" w:eastAsia="黑体"/>
        <w:b w:val="0"/>
        <w:i w:val="0"/>
        <w:sz w:val="21"/>
      </w:rPr>
    </w:lvl>
    <w:lvl w:ilvl="4" w:tentative="0">
      <w:start w:val="1"/>
      <w:numFmt w:val="decimal"/>
      <w:pStyle w:val="47"/>
      <w:suff w:val="nothing"/>
      <w:lvlText w:val="%1.%2.%3.%4.%5　"/>
      <w:lvlJc w:val="left"/>
      <w:pPr>
        <w:ind w:left="0" w:firstLine="0"/>
      </w:pPr>
      <w:rPr>
        <w:rFonts w:hint="eastAsia" w:ascii="黑体" w:hAnsi="Times New Roman" w:eastAsia="黑体"/>
        <w:b w:val="0"/>
        <w:i w:val="0"/>
        <w:sz w:val="21"/>
      </w:rPr>
    </w:lvl>
    <w:lvl w:ilvl="5" w:tentative="0">
      <w:start w:val="1"/>
      <w:numFmt w:val="decimal"/>
      <w:pStyle w:val="46"/>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2A8F7113"/>
    <w:multiLevelType w:val="multilevel"/>
    <w:tmpl w:val="2A8F7113"/>
    <w:lvl w:ilvl="0" w:tentative="0">
      <w:start w:val="1"/>
      <w:numFmt w:val="upperLetter"/>
      <w:pStyle w:val="87"/>
      <w:suff w:val="space"/>
      <w:lvlText w:val="%1"/>
      <w:lvlJc w:val="left"/>
      <w:pPr>
        <w:ind w:left="623" w:hanging="425"/>
      </w:pPr>
      <w:rPr>
        <w:rFonts w:hint="eastAsia"/>
      </w:rPr>
    </w:lvl>
    <w:lvl w:ilvl="1" w:tentative="0">
      <w:start w:val="1"/>
      <w:numFmt w:val="decimal"/>
      <w:pStyle w:val="72"/>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6">
    <w:nsid w:val="2C5917C3"/>
    <w:multiLevelType w:val="multilevel"/>
    <w:tmpl w:val="2C5917C3"/>
    <w:lvl w:ilvl="0" w:tentative="0">
      <w:start w:val="1"/>
      <w:numFmt w:val="none"/>
      <w:pStyle w:val="93"/>
      <w:suff w:val="nothing"/>
      <w:lvlText w:val="%1——"/>
      <w:lvlJc w:val="left"/>
      <w:pPr>
        <w:ind w:left="833" w:hanging="408"/>
      </w:pPr>
      <w:rPr>
        <w:rFonts w:hint="eastAsia"/>
      </w:rPr>
    </w:lvl>
    <w:lvl w:ilvl="1" w:tentative="0">
      <w:start w:val="1"/>
      <w:numFmt w:val="bullet"/>
      <w:pStyle w:val="88"/>
      <w:lvlText w:val=""/>
      <w:lvlJc w:val="left"/>
      <w:pPr>
        <w:tabs>
          <w:tab w:val="left" w:pos="760"/>
        </w:tabs>
        <w:ind w:left="1264" w:hanging="413"/>
      </w:pPr>
      <w:rPr>
        <w:rFonts w:hint="default" w:ascii="Symbol" w:hAnsi="Symbol"/>
        <w:color w:val="auto"/>
      </w:rPr>
    </w:lvl>
    <w:lvl w:ilvl="2" w:tentative="0">
      <w:start w:val="1"/>
      <w:numFmt w:val="bullet"/>
      <w:pStyle w:val="53"/>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7">
    <w:nsid w:val="3D733618"/>
    <w:multiLevelType w:val="multilevel"/>
    <w:tmpl w:val="3D733618"/>
    <w:lvl w:ilvl="0" w:tentative="0">
      <w:start w:val="1"/>
      <w:numFmt w:val="decimal"/>
      <w:pStyle w:val="17"/>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8">
    <w:nsid w:val="44C50F90"/>
    <w:multiLevelType w:val="multilevel"/>
    <w:tmpl w:val="44C50F90"/>
    <w:lvl w:ilvl="0" w:tentative="0">
      <w:start w:val="1"/>
      <w:numFmt w:val="lowerLetter"/>
      <w:pStyle w:val="127"/>
      <w:lvlText w:val="%1)"/>
      <w:lvlJc w:val="left"/>
      <w:pPr>
        <w:tabs>
          <w:tab w:val="left" w:pos="840"/>
        </w:tabs>
        <w:ind w:left="839" w:hanging="419"/>
      </w:pPr>
      <w:rPr>
        <w:rFonts w:hint="eastAsia" w:ascii="宋体" w:eastAsia="宋体"/>
        <w:b w:val="0"/>
        <w:i w:val="0"/>
        <w:sz w:val="21"/>
        <w:szCs w:val="21"/>
      </w:rPr>
    </w:lvl>
    <w:lvl w:ilvl="1" w:tentative="0">
      <w:start w:val="1"/>
      <w:numFmt w:val="decimal"/>
      <w:pStyle w:val="94"/>
      <w:lvlText w:val="%2)"/>
      <w:lvlJc w:val="left"/>
      <w:pPr>
        <w:tabs>
          <w:tab w:val="left" w:pos="1260"/>
        </w:tabs>
        <w:ind w:left="1259" w:hanging="419"/>
      </w:pPr>
      <w:rPr>
        <w:rFonts w:hint="eastAsia"/>
      </w:rPr>
    </w:lvl>
    <w:lvl w:ilvl="2" w:tentative="0">
      <w:start w:val="1"/>
      <w:numFmt w:val="decimal"/>
      <w:pStyle w:val="12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9">
    <w:nsid w:val="4B733A5F"/>
    <w:multiLevelType w:val="multilevel"/>
    <w:tmpl w:val="4B733A5F"/>
    <w:lvl w:ilvl="0" w:tentative="0">
      <w:start w:val="1"/>
      <w:numFmt w:val="decimal"/>
      <w:pStyle w:val="104"/>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0">
    <w:nsid w:val="557C2AF5"/>
    <w:multiLevelType w:val="multilevel"/>
    <w:tmpl w:val="557C2AF5"/>
    <w:lvl w:ilvl="0" w:tentative="0">
      <w:start w:val="1"/>
      <w:numFmt w:val="decimal"/>
      <w:pStyle w:val="73"/>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60B55DC2"/>
    <w:multiLevelType w:val="multilevel"/>
    <w:tmpl w:val="60B55DC2"/>
    <w:lvl w:ilvl="0" w:tentative="0">
      <w:start w:val="1"/>
      <w:numFmt w:val="upperLetter"/>
      <w:pStyle w:val="134"/>
      <w:lvlText w:val="%1"/>
      <w:lvlJc w:val="left"/>
      <w:pPr>
        <w:tabs>
          <w:tab w:val="left" w:pos="0"/>
        </w:tabs>
        <w:ind w:left="0" w:hanging="425"/>
      </w:pPr>
      <w:rPr>
        <w:rFonts w:hint="eastAsia"/>
      </w:rPr>
    </w:lvl>
    <w:lvl w:ilvl="1" w:tentative="0">
      <w:start w:val="1"/>
      <w:numFmt w:val="decimal"/>
      <w:pStyle w:val="84"/>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2">
    <w:nsid w:val="646260FA"/>
    <w:multiLevelType w:val="multilevel"/>
    <w:tmpl w:val="646260FA"/>
    <w:lvl w:ilvl="0" w:tentative="0">
      <w:start w:val="1"/>
      <w:numFmt w:val="decimal"/>
      <w:pStyle w:val="56"/>
      <w:suff w:val="nothing"/>
      <w:lvlText w:val="表%1　"/>
      <w:lvlJc w:val="left"/>
      <w:pPr>
        <w:ind w:left="3545"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3">
    <w:nsid w:val="657D3FBC"/>
    <w:multiLevelType w:val="multilevel"/>
    <w:tmpl w:val="657D3FBC"/>
    <w:lvl w:ilvl="0" w:tentative="0">
      <w:start w:val="1"/>
      <w:numFmt w:val="upperLetter"/>
      <w:pStyle w:val="112"/>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62"/>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61"/>
      <w:suff w:val="nothing"/>
      <w:lvlText w:val="%1.%2.%3　"/>
      <w:lvlJc w:val="left"/>
      <w:pPr>
        <w:ind w:left="0" w:firstLine="0"/>
      </w:pPr>
      <w:rPr>
        <w:rFonts w:hint="eastAsia" w:ascii="黑体" w:hAnsi="Times New Roman" w:eastAsia="黑体"/>
        <w:b w:val="0"/>
        <w:i w:val="0"/>
        <w:sz w:val="21"/>
      </w:rPr>
    </w:lvl>
    <w:lvl w:ilvl="3" w:tentative="0">
      <w:start w:val="1"/>
      <w:numFmt w:val="decimal"/>
      <w:pStyle w:val="59"/>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pStyle w:val="60"/>
      <w:suff w:val="nothing"/>
      <w:lvlText w:val="%1%2　"/>
      <w:lvlJc w:val="left"/>
      <w:pPr>
        <w:ind w:left="0" w:firstLine="0"/>
      </w:pPr>
      <w:rPr>
        <w:rFonts w:hint="eastAsia" w:hAnsi="Times New Roman" w:eastAsia="黑体" w:cs="Times New Roman"/>
        <w:b w:val="0"/>
        <w:bCs w:val="0"/>
        <w:i w:val="0"/>
        <w:iCs w:val="0"/>
        <w:caps w:val="0"/>
        <w:smallCaps w:val="0"/>
        <w:strike w:val="0"/>
        <w:dstrike w:val="0"/>
        <w:outline w:val="0"/>
        <w:shadow w:val="0"/>
        <w:emboss w:val="0"/>
        <w:imprint w:val="0"/>
        <w:vanish w:val="0"/>
        <w:spacing w:val="0"/>
        <w:kern w:val="0"/>
        <w:position w:val="0"/>
        <w:sz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129"/>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5">
    <w:nsid w:val="6D6C07CD"/>
    <w:multiLevelType w:val="multilevel"/>
    <w:tmpl w:val="6D6C07CD"/>
    <w:lvl w:ilvl="0" w:tentative="0">
      <w:start w:val="1"/>
      <w:numFmt w:val="lowerLetter"/>
      <w:pStyle w:val="54"/>
      <w:lvlText w:val="%1)"/>
      <w:lvlJc w:val="left"/>
      <w:pPr>
        <w:tabs>
          <w:tab w:val="left" w:pos="839"/>
        </w:tabs>
        <w:ind w:left="839" w:hanging="419"/>
      </w:pPr>
      <w:rPr>
        <w:rFonts w:hint="eastAsia" w:ascii="宋体" w:eastAsia="宋体"/>
        <w:b w:val="0"/>
        <w:i w:val="0"/>
        <w:sz w:val="21"/>
      </w:rPr>
    </w:lvl>
    <w:lvl w:ilvl="1" w:tentative="0">
      <w:start w:val="1"/>
      <w:numFmt w:val="decimal"/>
      <w:pStyle w:val="115"/>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6">
    <w:nsid w:val="7A2236B6"/>
    <w:multiLevelType w:val="multilevel"/>
    <w:tmpl w:val="7A2236B6"/>
    <w:lvl w:ilvl="0" w:tentative="0">
      <w:start w:val="1"/>
      <w:numFmt w:val="japaneseCounting"/>
      <w:pStyle w:val="123"/>
      <w:lvlText w:val="%1、"/>
      <w:lvlJc w:val="left"/>
      <w:pPr>
        <w:tabs>
          <w:tab w:val="left" w:pos="855"/>
        </w:tabs>
        <w:ind w:left="855" w:hanging="855"/>
      </w:pPr>
      <w:rPr>
        <w:rFonts w:hint="eastAsia"/>
      </w:rPr>
    </w:lvl>
    <w:lvl w:ilvl="1" w:tentative="0">
      <w:start w:val="1"/>
      <w:numFmt w:val="lowerLetter"/>
      <w:lvlText w:val="%2)"/>
      <w:lvlJc w:val="left"/>
      <w:pPr>
        <w:tabs>
          <w:tab w:val="left" w:pos="1395"/>
        </w:tabs>
        <w:ind w:left="1395" w:hanging="420"/>
      </w:pPr>
    </w:lvl>
    <w:lvl w:ilvl="2" w:tentative="0">
      <w:start w:val="1"/>
      <w:numFmt w:val="lowerRoman"/>
      <w:lvlText w:val="%3."/>
      <w:lvlJc w:val="right"/>
      <w:pPr>
        <w:tabs>
          <w:tab w:val="left" w:pos="1815"/>
        </w:tabs>
        <w:ind w:left="1815" w:hanging="420"/>
      </w:pPr>
    </w:lvl>
    <w:lvl w:ilvl="3" w:tentative="0">
      <w:start w:val="1"/>
      <w:numFmt w:val="decimal"/>
      <w:lvlText w:val="%4."/>
      <w:lvlJc w:val="left"/>
      <w:pPr>
        <w:tabs>
          <w:tab w:val="left" w:pos="2235"/>
        </w:tabs>
        <w:ind w:left="2235" w:hanging="420"/>
      </w:pPr>
    </w:lvl>
    <w:lvl w:ilvl="4" w:tentative="0">
      <w:start w:val="1"/>
      <w:numFmt w:val="lowerLetter"/>
      <w:lvlText w:val="%5)"/>
      <w:lvlJc w:val="left"/>
      <w:pPr>
        <w:tabs>
          <w:tab w:val="left" w:pos="2655"/>
        </w:tabs>
        <w:ind w:left="2655" w:hanging="420"/>
      </w:pPr>
    </w:lvl>
    <w:lvl w:ilvl="5" w:tentative="0">
      <w:start w:val="1"/>
      <w:numFmt w:val="lowerRoman"/>
      <w:lvlText w:val="%6."/>
      <w:lvlJc w:val="right"/>
      <w:pPr>
        <w:tabs>
          <w:tab w:val="left" w:pos="3075"/>
        </w:tabs>
        <w:ind w:left="3075" w:hanging="420"/>
      </w:pPr>
    </w:lvl>
    <w:lvl w:ilvl="6" w:tentative="0">
      <w:start w:val="1"/>
      <w:numFmt w:val="decimal"/>
      <w:lvlText w:val="%7."/>
      <w:lvlJc w:val="left"/>
      <w:pPr>
        <w:tabs>
          <w:tab w:val="left" w:pos="3495"/>
        </w:tabs>
        <w:ind w:left="3495" w:hanging="420"/>
      </w:pPr>
    </w:lvl>
    <w:lvl w:ilvl="7" w:tentative="0">
      <w:start w:val="1"/>
      <w:numFmt w:val="lowerLetter"/>
      <w:lvlText w:val="%8)"/>
      <w:lvlJc w:val="left"/>
      <w:pPr>
        <w:tabs>
          <w:tab w:val="left" w:pos="3915"/>
        </w:tabs>
        <w:ind w:left="3915" w:hanging="420"/>
      </w:pPr>
    </w:lvl>
    <w:lvl w:ilvl="8" w:tentative="0">
      <w:start w:val="1"/>
      <w:numFmt w:val="lowerRoman"/>
      <w:lvlText w:val="%9."/>
      <w:lvlJc w:val="right"/>
      <w:pPr>
        <w:tabs>
          <w:tab w:val="left" w:pos="4335"/>
        </w:tabs>
        <w:ind w:left="4335" w:hanging="420"/>
      </w:pPr>
    </w:lvl>
  </w:abstractNum>
  <w:num w:numId="1">
    <w:abstractNumId w:val="7"/>
  </w:num>
  <w:num w:numId="2">
    <w:abstractNumId w:val="2"/>
  </w:num>
  <w:num w:numId="3">
    <w:abstractNumId w:val="1"/>
  </w:num>
  <w:num w:numId="4">
    <w:abstractNumId w:val="4"/>
  </w:num>
  <w:num w:numId="5">
    <w:abstractNumId w:val="6"/>
  </w:num>
  <w:num w:numId="6">
    <w:abstractNumId w:val="15"/>
  </w:num>
  <w:num w:numId="7">
    <w:abstractNumId w:val="12"/>
  </w:num>
  <w:num w:numId="8">
    <w:abstractNumId w:val="13"/>
  </w:num>
  <w:num w:numId="9">
    <w:abstractNumId w:val="14"/>
  </w:num>
  <w:num w:numId="10">
    <w:abstractNumId w:val="0"/>
  </w:num>
  <w:num w:numId="11">
    <w:abstractNumId w:val="5"/>
  </w:num>
  <w:num w:numId="12">
    <w:abstractNumId w:val="10"/>
  </w:num>
  <w:num w:numId="13">
    <w:abstractNumId w:val="11"/>
  </w:num>
  <w:num w:numId="14">
    <w:abstractNumId w:val="8"/>
  </w:num>
  <w:num w:numId="15">
    <w:abstractNumId w:val="3"/>
  </w:num>
  <w:num w:numId="16">
    <w:abstractNumId w:val="9"/>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bordersDoNotSurroundHeader w:val="0"/>
  <w:bordersDoNotSurroundFooter w:val="0"/>
  <w:documentProtection w:edit="forms" w:formatting="1"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zYzAxOGExZGYxYTJhN2VhYmU3OWM0ZmQ0M2JmNWIifQ=="/>
    <w:docVar w:name="KGWebUrl" w:val="http://192.168.10.241/weaver/weaver.file.FileDownloadForNews?uuid=e0097092-b8f0-450d-bdfb-578e5f810e5b&amp;fileid=106679&amp;type=document&amp;isofficeview=0"/>
  </w:docVars>
  <w:rsids>
    <w:rsidRoot w:val="007C3247"/>
    <w:rsid w:val="00005DB1"/>
    <w:rsid w:val="00077301"/>
    <w:rsid w:val="00077F0D"/>
    <w:rsid w:val="00083470"/>
    <w:rsid w:val="0009613C"/>
    <w:rsid w:val="000C4B9C"/>
    <w:rsid w:val="000E4D01"/>
    <w:rsid w:val="0011378C"/>
    <w:rsid w:val="00132A95"/>
    <w:rsid w:val="00152FE4"/>
    <w:rsid w:val="00165AF8"/>
    <w:rsid w:val="00174125"/>
    <w:rsid w:val="001777B7"/>
    <w:rsid w:val="00187AB6"/>
    <w:rsid w:val="00194336"/>
    <w:rsid w:val="00194DB0"/>
    <w:rsid w:val="001B0880"/>
    <w:rsid w:val="001B2AF3"/>
    <w:rsid w:val="001C5B22"/>
    <w:rsid w:val="001D18B5"/>
    <w:rsid w:val="001D3FDC"/>
    <w:rsid w:val="001E3048"/>
    <w:rsid w:val="001F589D"/>
    <w:rsid w:val="00235ABA"/>
    <w:rsid w:val="00240DAB"/>
    <w:rsid w:val="00242899"/>
    <w:rsid w:val="0028227A"/>
    <w:rsid w:val="00284F9A"/>
    <w:rsid w:val="002C1149"/>
    <w:rsid w:val="002E441B"/>
    <w:rsid w:val="00315FD3"/>
    <w:rsid w:val="00317D11"/>
    <w:rsid w:val="00340337"/>
    <w:rsid w:val="00340F28"/>
    <w:rsid w:val="00366B95"/>
    <w:rsid w:val="003A38CC"/>
    <w:rsid w:val="003B7F26"/>
    <w:rsid w:val="0040731A"/>
    <w:rsid w:val="0041144D"/>
    <w:rsid w:val="0044182D"/>
    <w:rsid w:val="00441A5D"/>
    <w:rsid w:val="004440FD"/>
    <w:rsid w:val="00447E25"/>
    <w:rsid w:val="004544A8"/>
    <w:rsid w:val="00487528"/>
    <w:rsid w:val="004910C8"/>
    <w:rsid w:val="004A0E84"/>
    <w:rsid w:val="004A1E71"/>
    <w:rsid w:val="004B328A"/>
    <w:rsid w:val="004B3EA6"/>
    <w:rsid w:val="004C4C17"/>
    <w:rsid w:val="004C4E30"/>
    <w:rsid w:val="004C7236"/>
    <w:rsid w:val="004F2246"/>
    <w:rsid w:val="00512D63"/>
    <w:rsid w:val="0052453E"/>
    <w:rsid w:val="0055375E"/>
    <w:rsid w:val="00555105"/>
    <w:rsid w:val="005718FC"/>
    <w:rsid w:val="00575513"/>
    <w:rsid w:val="00587F69"/>
    <w:rsid w:val="00590C8F"/>
    <w:rsid w:val="005B5E7D"/>
    <w:rsid w:val="005D11BE"/>
    <w:rsid w:val="005D48C2"/>
    <w:rsid w:val="005D743B"/>
    <w:rsid w:val="005F536A"/>
    <w:rsid w:val="005F6D6B"/>
    <w:rsid w:val="006016E9"/>
    <w:rsid w:val="00614B31"/>
    <w:rsid w:val="00625F6D"/>
    <w:rsid w:val="006263FF"/>
    <w:rsid w:val="00630173"/>
    <w:rsid w:val="00645BA4"/>
    <w:rsid w:val="0066033A"/>
    <w:rsid w:val="00671799"/>
    <w:rsid w:val="00685E51"/>
    <w:rsid w:val="00695B5C"/>
    <w:rsid w:val="006F32E8"/>
    <w:rsid w:val="007043AA"/>
    <w:rsid w:val="00724576"/>
    <w:rsid w:val="007372FF"/>
    <w:rsid w:val="007576B9"/>
    <w:rsid w:val="007811F7"/>
    <w:rsid w:val="00787DA2"/>
    <w:rsid w:val="007C3247"/>
    <w:rsid w:val="007C3CC7"/>
    <w:rsid w:val="007C7B45"/>
    <w:rsid w:val="007E7BF5"/>
    <w:rsid w:val="00803D4F"/>
    <w:rsid w:val="008251C4"/>
    <w:rsid w:val="00835856"/>
    <w:rsid w:val="00836540"/>
    <w:rsid w:val="008421DE"/>
    <w:rsid w:val="008440C2"/>
    <w:rsid w:val="0087645D"/>
    <w:rsid w:val="008841CA"/>
    <w:rsid w:val="00890E44"/>
    <w:rsid w:val="00897A01"/>
    <w:rsid w:val="008A09F4"/>
    <w:rsid w:val="008B2012"/>
    <w:rsid w:val="008C765C"/>
    <w:rsid w:val="008F54ED"/>
    <w:rsid w:val="008F619D"/>
    <w:rsid w:val="009113D8"/>
    <w:rsid w:val="00915A4F"/>
    <w:rsid w:val="00932570"/>
    <w:rsid w:val="00937BEF"/>
    <w:rsid w:val="0097419C"/>
    <w:rsid w:val="009751A2"/>
    <w:rsid w:val="009828CA"/>
    <w:rsid w:val="00983398"/>
    <w:rsid w:val="00986862"/>
    <w:rsid w:val="009926B4"/>
    <w:rsid w:val="009B155C"/>
    <w:rsid w:val="009B4C45"/>
    <w:rsid w:val="009D2CDB"/>
    <w:rsid w:val="009E2189"/>
    <w:rsid w:val="00A3389D"/>
    <w:rsid w:val="00A4192F"/>
    <w:rsid w:val="00A4211E"/>
    <w:rsid w:val="00A65F23"/>
    <w:rsid w:val="00A719DB"/>
    <w:rsid w:val="00A73128"/>
    <w:rsid w:val="00A75C06"/>
    <w:rsid w:val="00A90A7F"/>
    <w:rsid w:val="00AA3A47"/>
    <w:rsid w:val="00AA7D4C"/>
    <w:rsid w:val="00AB6F5A"/>
    <w:rsid w:val="00AC4523"/>
    <w:rsid w:val="00AC624D"/>
    <w:rsid w:val="00AF09C7"/>
    <w:rsid w:val="00B041BF"/>
    <w:rsid w:val="00B14D75"/>
    <w:rsid w:val="00B27C8B"/>
    <w:rsid w:val="00B36B9E"/>
    <w:rsid w:val="00B6165D"/>
    <w:rsid w:val="00B65AA9"/>
    <w:rsid w:val="00B747C3"/>
    <w:rsid w:val="00B755C1"/>
    <w:rsid w:val="00B8742B"/>
    <w:rsid w:val="00BE78D0"/>
    <w:rsid w:val="00BF66D6"/>
    <w:rsid w:val="00C23FE9"/>
    <w:rsid w:val="00C52429"/>
    <w:rsid w:val="00C6030D"/>
    <w:rsid w:val="00C61CD1"/>
    <w:rsid w:val="00C62769"/>
    <w:rsid w:val="00C7144F"/>
    <w:rsid w:val="00C719D8"/>
    <w:rsid w:val="00CA11D3"/>
    <w:rsid w:val="00CA1A72"/>
    <w:rsid w:val="00CA7644"/>
    <w:rsid w:val="00CB1E2A"/>
    <w:rsid w:val="00CC6B2B"/>
    <w:rsid w:val="00CE3169"/>
    <w:rsid w:val="00CE5EB7"/>
    <w:rsid w:val="00CF2B90"/>
    <w:rsid w:val="00D61F02"/>
    <w:rsid w:val="00D65A82"/>
    <w:rsid w:val="00D65B41"/>
    <w:rsid w:val="00D71A76"/>
    <w:rsid w:val="00D73D37"/>
    <w:rsid w:val="00D87E17"/>
    <w:rsid w:val="00D95E7F"/>
    <w:rsid w:val="00D9763E"/>
    <w:rsid w:val="00DB19D9"/>
    <w:rsid w:val="00DB5680"/>
    <w:rsid w:val="00DC3FA1"/>
    <w:rsid w:val="00DC510D"/>
    <w:rsid w:val="00DF61B1"/>
    <w:rsid w:val="00E14929"/>
    <w:rsid w:val="00E16B37"/>
    <w:rsid w:val="00E64BAB"/>
    <w:rsid w:val="00EA351C"/>
    <w:rsid w:val="00EB007C"/>
    <w:rsid w:val="00EC39AD"/>
    <w:rsid w:val="00EC4F89"/>
    <w:rsid w:val="00EC65EB"/>
    <w:rsid w:val="00ED7323"/>
    <w:rsid w:val="00EE2BCA"/>
    <w:rsid w:val="00EE4C3E"/>
    <w:rsid w:val="00EF5987"/>
    <w:rsid w:val="00EF650C"/>
    <w:rsid w:val="00F00FC7"/>
    <w:rsid w:val="00F0676E"/>
    <w:rsid w:val="00F14061"/>
    <w:rsid w:val="00F47DD2"/>
    <w:rsid w:val="00F72113"/>
    <w:rsid w:val="00F7339B"/>
    <w:rsid w:val="00F74988"/>
    <w:rsid w:val="00F77C72"/>
    <w:rsid w:val="00F83333"/>
    <w:rsid w:val="00FA44BC"/>
    <w:rsid w:val="00FA5E22"/>
    <w:rsid w:val="00FB1CF0"/>
    <w:rsid w:val="00FB666B"/>
    <w:rsid w:val="00FC3AC1"/>
    <w:rsid w:val="00FC7513"/>
    <w:rsid w:val="00FD5E59"/>
    <w:rsid w:val="00FE23A4"/>
    <w:rsid w:val="00FE39E5"/>
    <w:rsid w:val="00FE3D96"/>
    <w:rsid w:val="00FF073E"/>
    <w:rsid w:val="0138132E"/>
    <w:rsid w:val="0177313B"/>
    <w:rsid w:val="018367DD"/>
    <w:rsid w:val="02650E97"/>
    <w:rsid w:val="032558AB"/>
    <w:rsid w:val="040D5F53"/>
    <w:rsid w:val="05955186"/>
    <w:rsid w:val="06D071A3"/>
    <w:rsid w:val="08277E42"/>
    <w:rsid w:val="09DA6C05"/>
    <w:rsid w:val="0A5F0BAA"/>
    <w:rsid w:val="0B0B42AD"/>
    <w:rsid w:val="0B815649"/>
    <w:rsid w:val="0C8D3A81"/>
    <w:rsid w:val="0CF06F2A"/>
    <w:rsid w:val="0DC63AF3"/>
    <w:rsid w:val="0F587009"/>
    <w:rsid w:val="0F5C1C1F"/>
    <w:rsid w:val="10010360"/>
    <w:rsid w:val="11093A25"/>
    <w:rsid w:val="136A730B"/>
    <w:rsid w:val="194B6961"/>
    <w:rsid w:val="1A9D618F"/>
    <w:rsid w:val="1B06300B"/>
    <w:rsid w:val="1B74093D"/>
    <w:rsid w:val="1BD208D9"/>
    <w:rsid w:val="1DC54453"/>
    <w:rsid w:val="1F0761A2"/>
    <w:rsid w:val="1F312FF0"/>
    <w:rsid w:val="1F8D2C22"/>
    <w:rsid w:val="20B5562A"/>
    <w:rsid w:val="21162472"/>
    <w:rsid w:val="229379B6"/>
    <w:rsid w:val="23270BAC"/>
    <w:rsid w:val="265359DC"/>
    <w:rsid w:val="276E22A7"/>
    <w:rsid w:val="27B67AB8"/>
    <w:rsid w:val="27FF71A4"/>
    <w:rsid w:val="2A855E1E"/>
    <w:rsid w:val="2AC36958"/>
    <w:rsid w:val="2B4619CE"/>
    <w:rsid w:val="2BC967F9"/>
    <w:rsid w:val="2D17734A"/>
    <w:rsid w:val="2D2B3586"/>
    <w:rsid w:val="2D524334"/>
    <w:rsid w:val="2D7A0D6D"/>
    <w:rsid w:val="2D7B6E44"/>
    <w:rsid w:val="31AE4AFE"/>
    <w:rsid w:val="33A522EE"/>
    <w:rsid w:val="33D26ADA"/>
    <w:rsid w:val="34D17133"/>
    <w:rsid w:val="371A2678"/>
    <w:rsid w:val="38604B0B"/>
    <w:rsid w:val="38747B68"/>
    <w:rsid w:val="3A761F7B"/>
    <w:rsid w:val="3AD43624"/>
    <w:rsid w:val="3BFD066E"/>
    <w:rsid w:val="3CD45671"/>
    <w:rsid w:val="3D98177F"/>
    <w:rsid w:val="3ED226D8"/>
    <w:rsid w:val="3F640A8C"/>
    <w:rsid w:val="42604847"/>
    <w:rsid w:val="42BE6BA7"/>
    <w:rsid w:val="43D15B56"/>
    <w:rsid w:val="43DB7E46"/>
    <w:rsid w:val="43E74455"/>
    <w:rsid w:val="4410023A"/>
    <w:rsid w:val="45702117"/>
    <w:rsid w:val="46537FFE"/>
    <w:rsid w:val="47537398"/>
    <w:rsid w:val="48B55D2C"/>
    <w:rsid w:val="492369AA"/>
    <w:rsid w:val="49D11719"/>
    <w:rsid w:val="4ADD0C10"/>
    <w:rsid w:val="4AF9536E"/>
    <w:rsid w:val="4D0E5421"/>
    <w:rsid w:val="4D830187"/>
    <w:rsid w:val="4D9B2362"/>
    <w:rsid w:val="4DBF1C1A"/>
    <w:rsid w:val="4FC76304"/>
    <w:rsid w:val="51C81EA6"/>
    <w:rsid w:val="531102E5"/>
    <w:rsid w:val="56682C5A"/>
    <w:rsid w:val="57F87DF2"/>
    <w:rsid w:val="5A1E4822"/>
    <w:rsid w:val="5A3D262A"/>
    <w:rsid w:val="5B867F38"/>
    <w:rsid w:val="5B903CC7"/>
    <w:rsid w:val="5B9F2D73"/>
    <w:rsid w:val="5BB72435"/>
    <w:rsid w:val="5C2B76EA"/>
    <w:rsid w:val="5C5C653B"/>
    <w:rsid w:val="5E135BA1"/>
    <w:rsid w:val="5EA6278E"/>
    <w:rsid w:val="616B5B9D"/>
    <w:rsid w:val="616E6D73"/>
    <w:rsid w:val="622E04CA"/>
    <w:rsid w:val="62C909F3"/>
    <w:rsid w:val="63CB0F40"/>
    <w:rsid w:val="647749B0"/>
    <w:rsid w:val="64790728"/>
    <w:rsid w:val="65DF4B4E"/>
    <w:rsid w:val="66263292"/>
    <w:rsid w:val="68E1689C"/>
    <w:rsid w:val="68FD6A53"/>
    <w:rsid w:val="6AE6588D"/>
    <w:rsid w:val="6B9E6B56"/>
    <w:rsid w:val="6C200403"/>
    <w:rsid w:val="6D736838"/>
    <w:rsid w:val="6D8919A1"/>
    <w:rsid w:val="6F343BCA"/>
    <w:rsid w:val="724265FE"/>
    <w:rsid w:val="72CE60E3"/>
    <w:rsid w:val="732705D8"/>
    <w:rsid w:val="741B67DE"/>
    <w:rsid w:val="745A4BA8"/>
    <w:rsid w:val="74FC0CE6"/>
    <w:rsid w:val="77E15F71"/>
    <w:rsid w:val="78BE1FA4"/>
    <w:rsid w:val="79F006ED"/>
    <w:rsid w:val="7A3DE724"/>
    <w:rsid w:val="7ACD1D04"/>
    <w:rsid w:val="7BAE7BF7"/>
    <w:rsid w:val="7CB02F14"/>
    <w:rsid w:val="7DD4587F"/>
    <w:rsid w:val="7EB5101A"/>
    <w:rsid w:val="7F211349"/>
    <w:rsid w:val="CBFDB819"/>
    <w:rsid w:val="FDFF03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keepNext/>
      <w:keepLines/>
      <w:spacing w:before="340" w:after="330" w:line="578" w:lineRule="auto"/>
      <w:outlineLvl w:val="0"/>
    </w:pPr>
    <w:rPr>
      <w:rFonts w:ascii="Calibri" w:hAnsi="Calibri"/>
      <w:b/>
      <w:bCs/>
      <w:kern w:val="44"/>
      <w:sz w:val="44"/>
      <w:szCs w:val="44"/>
    </w:rPr>
  </w:style>
  <w:style w:type="character" w:default="1" w:styleId="24">
    <w:name w:val="Default Paragraph Font"/>
    <w:semiHidden/>
    <w:unhideWhenUsed/>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3">
    <w:name w:val="index 8"/>
    <w:basedOn w:val="1"/>
    <w:next w:val="1"/>
    <w:qFormat/>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sz w:val="20"/>
      <w:szCs w:val="20"/>
    </w:rPr>
  </w:style>
  <w:style w:type="paragraph" w:styleId="6">
    <w:name w:val="index 6"/>
    <w:basedOn w:val="1"/>
    <w:next w:val="1"/>
    <w:qFormat/>
    <w:uiPriority w:val="0"/>
    <w:pPr>
      <w:ind w:left="1260" w:hanging="210"/>
      <w:jc w:val="left"/>
    </w:pPr>
    <w:rPr>
      <w:rFonts w:ascii="Calibri" w:hAnsi="Calibri"/>
      <w:sz w:val="20"/>
      <w:szCs w:val="20"/>
    </w:rPr>
  </w:style>
  <w:style w:type="paragraph" w:styleId="7">
    <w:name w:val="Body Text"/>
    <w:basedOn w:val="1"/>
    <w:link w:val="31"/>
    <w:qFormat/>
    <w:uiPriority w:val="0"/>
    <w:rPr>
      <w:rFonts w:ascii="楷体" w:hAnsi="楷体" w:eastAsia="楷体" w:cs="楷体"/>
      <w:szCs w:val="21"/>
      <w:lang w:val="zh-CN" w:bidi="zh-CN"/>
    </w:rPr>
  </w:style>
  <w:style w:type="paragraph" w:styleId="8">
    <w:name w:val="index 4"/>
    <w:basedOn w:val="1"/>
    <w:next w:val="1"/>
    <w:qFormat/>
    <w:uiPriority w:val="0"/>
    <w:pPr>
      <w:ind w:left="840" w:hanging="210"/>
      <w:jc w:val="left"/>
    </w:pPr>
    <w:rPr>
      <w:rFonts w:ascii="Calibri" w:hAnsi="Calibri"/>
      <w:sz w:val="20"/>
      <w:szCs w:val="20"/>
    </w:rPr>
  </w:style>
  <w:style w:type="paragraph" w:styleId="9">
    <w:name w:val="Plain Text"/>
    <w:basedOn w:val="1"/>
    <w:link w:val="32"/>
    <w:unhideWhenUsed/>
    <w:qFormat/>
    <w:uiPriority w:val="0"/>
    <w:rPr>
      <w:rFonts w:ascii="宋体" w:hAnsi="Courier New"/>
      <w:szCs w:val="20"/>
    </w:rPr>
  </w:style>
  <w:style w:type="paragraph" w:styleId="10">
    <w:name w:val="index 3"/>
    <w:basedOn w:val="1"/>
    <w:next w:val="1"/>
    <w:qFormat/>
    <w:uiPriority w:val="0"/>
    <w:pPr>
      <w:ind w:left="630" w:hanging="210"/>
      <w:jc w:val="left"/>
    </w:pPr>
    <w:rPr>
      <w:rFonts w:ascii="Calibri" w:hAnsi="Calibri"/>
      <w:sz w:val="20"/>
      <w:szCs w:val="20"/>
    </w:rPr>
  </w:style>
  <w:style w:type="paragraph" w:styleId="11">
    <w:name w:val="Balloon Text"/>
    <w:basedOn w:val="1"/>
    <w:link w:val="33"/>
    <w:unhideWhenUsed/>
    <w:qFormat/>
    <w:uiPriority w:val="0"/>
    <w:rPr>
      <w:rFonts w:ascii="Calibri" w:hAnsi="Calibri"/>
      <w:sz w:val="18"/>
      <w:szCs w:val="18"/>
    </w:rPr>
  </w:style>
  <w:style w:type="paragraph" w:styleId="12">
    <w:name w:val="footer"/>
    <w:basedOn w:val="1"/>
    <w:qFormat/>
    <w:uiPriority w:val="0"/>
    <w:pPr>
      <w:tabs>
        <w:tab w:val="center" w:pos="4153"/>
        <w:tab w:val="right" w:pos="8306"/>
      </w:tabs>
      <w:snapToGrid w:val="0"/>
      <w:jc w:val="lef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index heading"/>
    <w:basedOn w:val="1"/>
    <w:next w:val="15"/>
    <w:qFormat/>
    <w:uiPriority w:val="0"/>
    <w:pPr>
      <w:spacing w:before="120" w:after="120"/>
      <w:jc w:val="center"/>
    </w:pPr>
    <w:rPr>
      <w:rFonts w:ascii="Calibri" w:hAnsi="Calibri"/>
      <w:b/>
      <w:bCs/>
      <w:iCs/>
      <w:szCs w:val="20"/>
    </w:rPr>
  </w:style>
  <w:style w:type="paragraph" w:styleId="15">
    <w:name w:val="index 1"/>
    <w:basedOn w:val="1"/>
    <w:next w:val="16"/>
    <w:qFormat/>
    <w:uiPriority w:val="0"/>
    <w:pPr>
      <w:tabs>
        <w:tab w:val="right" w:leader="dot" w:pos="9299"/>
      </w:tabs>
      <w:jc w:val="left"/>
    </w:pPr>
    <w:rPr>
      <w:rFonts w:ascii="宋体"/>
      <w:szCs w:val="21"/>
    </w:rPr>
  </w:style>
  <w:style w:type="paragraph" w:customStyle="1" w:styleId="16">
    <w:name w:val="段"/>
    <w:link w:val="34"/>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17">
    <w:name w:val="footnote text"/>
    <w:basedOn w:val="1"/>
    <w:qFormat/>
    <w:uiPriority w:val="0"/>
    <w:pPr>
      <w:numPr>
        <w:ilvl w:val="0"/>
        <w:numId w:val="1"/>
      </w:numPr>
      <w:snapToGrid w:val="0"/>
      <w:jc w:val="left"/>
    </w:pPr>
    <w:rPr>
      <w:rFonts w:ascii="宋体"/>
      <w:sz w:val="18"/>
      <w:szCs w:val="18"/>
    </w:rPr>
  </w:style>
  <w:style w:type="paragraph" w:styleId="18">
    <w:name w:val="index 7"/>
    <w:basedOn w:val="1"/>
    <w:next w:val="1"/>
    <w:qFormat/>
    <w:uiPriority w:val="0"/>
    <w:pPr>
      <w:ind w:left="1470" w:hanging="210"/>
      <w:jc w:val="left"/>
    </w:pPr>
    <w:rPr>
      <w:rFonts w:ascii="Calibri" w:hAnsi="Calibri"/>
      <w:sz w:val="20"/>
      <w:szCs w:val="20"/>
    </w:rPr>
  </w:style>
  <w:style w:type="paragraph" w:styleId="19">
    <w:name w:val="index 9"/>
    <w:basedOn w:val="1"/>
    <w:next w:val="1"/>
    <w:qFormat/>
    <w:uiPriority w:val="0"/>
    <w:pPr>
      <w:ind w:left="1890" w:hanging="210"/>
      <w:jc w:val="left"/>
    </w:pPr>
    <w:rPr>
      <w:rFonts w:ascii="Calibri" w:hAnsi="Calibri"/>
      <w:sz w:val="20"/>
      <w:szCs w:val="20"/>
    </w:rPr>
  </w:style>
  <w:style w:type="paragraph" w:styleId="20">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21">
    <w:name w:val="index 2"/>
    <w:basedOn w:val="1"/>
    <w:next w:val="1"/>
    <w:qFormat/>
    <w:uiPriority w:val="0"/>
    <w:pPr>
      <w:ind w:left="420" w:hanging="210"/>
      <w:jc w:val="left"/>
    </w:pPr>
    <w:rPr>
      <w:rFonts w:ascii="Calibri" w:hAnsi="Calibri"/>
      <w:sz w:val="20"/>
      <w:szCs w:val="20"/>
    </w:rPr>
  </w:style>
  <w:style w:type="table" w:styleId="23">
    <w:name w:val="Table Grid"/>
    <w:basedOn w:val="22"/>
    <w:qFormat/>
    <w:uiPriority w:val="0"/>
    <w:pPr>
      <w:numPr>
        <w:numId w:val="2"/>
      </w:numPr>
      <w:ind w:left="0" w:firstLine="0"/>
    </w:pPr>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5">
    <w:name w:val="Strong"/>
    <w:qFormat/>
    <w:uiPriority w:val="0"/>
    <w:rPr>
      <w:b/>
      <w:bCs/>
    </w:rPr>
  </w:style>
  <w:style w:type="character" w:styleId="26">
    <w:name w:val="page number"/>
    <w:qFormat/>
    <w:uiPriority w:val="0"/>
  </w:style>
  <w:style w:type="character" w:styleId="27">
    <w:name w:val="FollowedHyperlink"/>
    <w:qFormat/>
    <w:uiPriority w:val="0"/>
    <w:rPr>
      <w:rFonts w:ascii="Times New Roman" w:hAnsi="Times New Roman" w:eastAsia="宋体" w:cs="Times New Roman"/>
      <w:color w:val="800080"/>
      <w:u w:val="single"/>
    </w:rPr>
  </w:style>
  <w:style w:type="character" w:styleId="28">
    <w:name w:val="Emphasis"/>
    <w:qFormat/>
    <w:uiPriority w:val="0"/>
    <w:rPr>
      <w:rFonts w:ascii="Times New Roman" w:hAnsi="Times New Roman" w:eastAsia="宋体" w:cs="Times New Roman"/>
      <w:i/>
      <w:iCs/>
    </w:rPr>
  </w:style>
  <w:style w:type="character" w:styleId="29">
    <w:name w:val="Hyperlink"/>
    <w:qFormat/>
    <w:uiPriority w:val="0"/>
    <w:rPr>
      <w:color w:val="0000FF"/>
      <w:u w:val="single"/>
    </w:rPr>
  </w:style>
  <w:style w:type="character" w:customStyle="1" w:styleId="30">
    <w:name w:val="标题 1 Char"/>
    <w:link w:val="2"/>
    <w:qFormat/>
    <w:uiPriority w:val="0"/>
    <w:rPr>
      <w:rFonts w:ascii="Calibri" w:hAnsi="Calibri" w:eastAsia="宋体" w:cs="Times New Roman"/>
      <w:b/>
      <w:bCs/>
      <w:kern w:val="44"/>
      <w:sz w:val="44"/>
      <w:szCs w:val="44"/>
    </w:rPr>
  </w:style>
  <w:style w:type="character" w:customStyle="1" w:styleId="31">
    <w:name w:val="正文文本 Char"/>
    <w:link w:val="7"/>
    <w:qFormat/>
    <w:uiPriority w:val="0"/>
    <w:rPr>
      <w:rFonts w:ascii="楷体" w:hAnsi="楷体" w:eastAsia="楷体" w:cs="楷体"/>
      <w:szCs w:val="21"/>
      <w:lang w:val="zh-CN" w:bidi="zh-CN"/>
    </w:rPr>
  </w:style>
  <w:style w:type="character" w:customStyle="1" w:styleId="32">
    <w:name w:val="纯文本 Char"/>
    <w:link w:val="9"/>
    <w:semiHidden/>
    <w:qFormat/>
    <w:uiPriority w:val="0"/>
    <w:rPr>
      <w:rFonts w:ascii="宋体" w:hAnsi="Courier New" w:eastAsia="宋体" w:cs="Times New Roman"/>
      <w:szCs w:val="20"/>
    </w:rPr>
  </w:style>
  <w:style w:type="character" w:customStyle="1" w:styleId="33">
    <w:name w:val="批注框文本 Char"/>
    <w:link w:val="11"/>
    <w:semiHidden/>
    <w:qFormat/>
    <w:uiPriority w:val="0"/>
    <w:rPr>
      <w:rFonts w:ascii="Calibri" w:hAnsi="Calibri" w:eastAsia="宋体" w:cs="Times New Roman"/>
      <w:sz w:val="18"/>
      <w:szCs w:val="18"/>
    </w:rPr>
  </w:style>
  <w:style w:type="character" w:customStyle="1" w:styleId="34">
    <w:name w:val="段 Char"/>
    <w:link w:val="16"/>
    <w:qFormat/>
    <w:uiPriority w:val="0"/>
    <w:rPr>
      <w:rFonts w:ascii="宋体" w:hAnsi="Times New Roman" w:eastAsia="宋体" w:cs="Times New Roman"/>
      <w:sz w:val="21"/>
      <w:lang w:val="en-US" w:eastAsia="zh-CN" w:bidi="ar-SA"/>
    </w:rPr>
  </w:style>
  <w:style w:type="character" w:customStyle="1" w:styleId="35">
    <w:name w:val="页眉 Char"/>
    <w:qFormat/>
    <w:uiPriority w:val="0"/>
    <w:rPr>
      <w:kern w:val="2"/>
      <w:sz w:val="18"/>
      <w:szCs w:val="18"/>
    </w:rPr>
  </w:style>
  <w:style w:type="character" w:customStyle="1" w:styleId="36">
    <w:name w:val="页脚 Char"/>
    <w:qFormat/>
    <w:uiPriority w:val="99"/>
    <w:rPr>
      <w:kern w:val="2"/>
      <w:sz w:val="18"/>
      <w:szCs w:val="18"/>
    </w:rPr>
  </w:style>
  <w:style w:type="character" w:customStyle="1" w:styleId="37">
    <w:name w:val="Body text (2)_"/>
    <w:link w:val="38"/>
    <w:qFormat/>
    <w:uiPriority w:val="0"/>
    <w:rPr>
      <w:rFonts w:ascii="PMingLiU" w:hAnsi="PMingLiU" w:eastAsia="PMingLiU" w:cs="Times New Roman"/>
      <w:kern w:val="0"/>
      <w:szCs w:val="21"/>
    </w:rPr>
  </w:style>
  <w:style w:type="paragraph" w:customStyle="1" w:styleId="38">
    <w:name w:val="Body text (2)"/>
    <w:basedOn w:val="1"/>
    <w:link w:val="37"/>
    <w:qFormat/>
    <w:uiPriority w:val="0"/>
    <w:pPr>
      <w:shd w:val="clear" w:color="auto" w:fill="FFFFFF"/>
      <w:spacing w:before="780" w:line="421" w:lineRule="exact"/>
      <w:ind w:hanging="4"/>
      <w:jc w:val="left"/>
    </w:pPr>
    <w:rPr>
      <w:rFonts w:ascii="PMingLiU" w:hAnsi="PMingLiU" w:eastAsia="PMingLiU"/>
      <w:kern w:val="0"/>
      <w:szCs w:val="21"/>
    </w:rPr>
  </w:style>
  <w:style w:type="character" w:customStyle="1" w:styleId="39">
    <w:name w:val="发布"/>
    <w:qFormat/>
    <w:uiPriority w:val="0"/>
    <w:rPr>
      <w:rFonts w:ascii="黑体" w:hAnsi="Times New Roman" w:eastAsia="黑体" w:cs="Times New Roman"/>
      <w:spacing w:val="85"/>
      <w:w w:val="100"/>
      <w:position w:val="3"/>
      <w:sz w:val="28"/>
      <w:szCs w:val="28"/>
    </w:rPr>
  </w:style>
  <w:style w:type="character" w:customStyle="1" w:styleId="40">
    <w:name w:val="Body text (7)_"/>
    <w:link w:val="41"/>
    <w:qFormat/>
    <w:uiPriority w:val="0"/>
    <w:rPr>
      <w:rFonts w:ascii="PMingLiU" w:hAnsi="PMingLiU" w:eastAsia="PMingLiU" w:cs="Times New Roman"/>
      <w:kern w:val="0"/>
      <w:szCs w:val="21"/>
      <w:lang w:eastAsia="en-US"/>
    </w:rPr>
  </w:style>
  <w:style w:type="paragraph" w:customStyle="1" w:styleId="41">
    <w:name w:val="Body text (7)"/>
    <w:basedOn w:val="1"/>
    <w:link w:val="40"/>
    <w:qFormat/>
    <w:uiPriority w:val="0"/>
    <w:pPr>
      <w:shd w:val="clear" w:color="auto" w:fill="FFFFFF"/>
      <w:spacing w:line="421" w:lineRule="exact"/>
      <w:ind w:firstLine="4"/>
      <w:jc w:val="distribute"/>
    </w:pPr>
    <w:rPr>
      <w:rFonts w:ascii="PMingLiU" w:hAnsi="PMingLiU" w:eastAsia="PMingLiU"/>
      <w:kern w:val="0"/>
      <w:szCs w:val="21"/>
      <w:lang w:eastAsia="en-US"/>
    </w:rPr>
  </w:style>
  <w:style w:type="character" w:customStyle="1" w:styleId="42">
    <w:name w:val="首示例 Char"/>
    <w:link w:val="43"/>
    <w:qFormat/>
    <w:uiPriority w:val="0"/>
    <w:rPr>
      <w:rFonts w:ascii="宋体" w:hAnsi="宋体" w:eastAsia="宋体" w:cs="Times New Roman"/>
      <w:kern w:val="2"/>
      <w:sz w:val="18"/>
      <w:szCs w:val="18"/>
      <w:lang w:val="en-US" w:eastAsia="zh-CN" w:bidi="ar-SA"/>
    </w:rPr>
  </w:style>
  <w:style w:type="paragraph" w:customStyle="1" w:styleId="43">
    <w:name w:val="首示例"/>
    <w:next w:val="16"/>
    <w:link w:val="42"/>
    <w:qFormat/>
    <w:uiPriority w:val="0"/>
    <w:pPr>
      <w:numPr>
        <w:ilvl w:val="0"/>
        <w:numId w:val="3"/>
      </w:numPr>
      <w:tabs>
        <w:tab w:val="left" w:pos="360"/>
      </w:tabs>
      <w:ind w:firstLine="0"/>
    </w:pPr>
    <w:rPr>
      <w:rFonts w:ascii="宋体" w:hAnsi="宋体" w:eastAsia="宋体" w:cs="Times New Roman"/>
      <w:kern w:val="2"/>
      <w:sz w:val="18"/>
      <w:szCs w:val="18"/>
      <w:lang w:val="en-US" w:eastAsia="zh-CN" w:bidi="ar-SA"/>
    </w:rPr>
  </w:style>
  <w:style w:type="character" w:customStyle="1" w:styleId="44">
    <w:name w:val="附录公式 Char"/>
    <w:link w:val="45"/>
    <w:qFormat/>
    <w:uiPriority w:val="0"/>
    <w:rPr>
      <w:rFonts w:ascii="Times New Roman" w:hAnsi="Times New Roman" w:eastAsia="宋体" w:cs="Times New Roman"/>
    </w:rPr>
  </w:style>
  <w:style w:type="paragraph" w:customStyle="1" w:styleId="45">
    <w:name w:val="附录公式"/>
    <w:basedOn w:val="16"/>
    <w:next w:val="16"/>
    <w:link w:val="44"/>
    <w:qFormat/>
    <w:uiPriority w:val="0"/>
  </w:style>
  <w:style w:type="paragraph" w:customStyle="1" w:styleId="46">
    <w:name w:val="五级条标题"/>
    <w:basedOn w:val="47"/>
    <w:next w:val="16"/>
    <w:qFormat/>
    <w:uiPriority w:val="0"/>
    <w:pPr>
      <w:numPr>
        <w:ilvl w:val="5"/>
      </w:numPr>
      <w:outlineLvl w:val="6"/>
    </w:pPr>
  </w:style>
  <w:style w:type="paragraph" w:customStyle="1" w:styleId="47">
    <w:name w:val="四级条标题"/>
    <w:basedOn w:val="48"/>
    <w:next w:val="16"/>
    <w:qFormat/>
    <w:uiPriority w:val="0"/>
    <w:pPr>
      <w:numPr>
        <w:ilvl w:val="4"/>
      </w:numPr>
      <w:outlineLvl w:val="5"/>
    </w:pPr>
  </w:style>
  <w:style w:type="paragraph" w:customStyle="1" w:styleId="48">
    <w:name w:val="三级条标题"/>
    <w:basedOn w:val="49"/>
    <w:next w:val="16"/>
    <w:qFormat/>
    <w:uiPriority w:val="0"/>
    <w:pPr>
      <w:numPr>
        <w:ilvl w:val="3"/>
      </w:numPr>
      <w:outlineLvl w:val="4"/>
    </w:pPr>
  </w:style>
  <w:style w:type="paragraph" w:customStyle="1" w:styleId="49">
    <w:name w:val="二级条标题"/>
    <w:basedOn w:val="50"/>
    <w:next w:val="16"/>
    <w:qFormat/>
    <w:uiPriority w:val="0"/>
    <w:pPr>
      <w:numPr>
        <w:ilvl w:val="2"/>
      </w:numPr>
      <w:spacing w:before="50" w:after="50"/>
      <w:outlineLvl w:val="3"/>
    </w:pPr>
  </w:style>
  <w:style w:type="paragraph" w:customStyle="1" w:styleId="50">
    <w:name w:val="一级条标题"/>
    <w:next w:val="16"/>
    <w:qFormat/>
    <w:uiPriority w:val="0"/>
    <w:pPr>
      <w:numPr>
        <w:ilvl w:val="1"/>
        <w:numId w:val="4"/>
      </w:numPr>
      <w:spacing w:beforeLines="50" w:afterLines="50"/>
      <w:outlineLvl w:val="2"/>
    </w:pPr>
    <w:rPr>
      <w:rFonts w:ascii="黑体" w:hAnsi="Times New Roman" w:eastAsia="黑体" w:cs="Times New Roman"/>
      <w:sz w:val="21"/>
      <w:szCs w:val="21"/>
      <w:lang w:val="en-US" w:eastAsia="zh-CN" w:bidi="ar-SA"/>
    </w:rPr>
  </w:style>
  <w:style w:type="paragraph" w:customStyle="1" w:styleId="51">
    <w:name w:val="一级无"/>
    <w:basedOn w:val="50"/>
    <w:qFormat/>
    <w:uiPriority w:val="0"/>
    <w:pPr>
      <w:spacing w:beforeLines="0" w:afterLines="0"/>
    </w:pPr>
    <w:rPr>
      <w:rFonts w:ascii="宋体" w:eastAsia="宋体"/>
    </w:rPr>
  </w:style>
  <w:style w:type="paragraph" w:customStyle="1" w:styleId="52">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53">
    <w:name w:val="列项◆（三级）"/>
    <w:basedOn w:val="1"/>
    <w:uiPriority w:val="0"/>
    <w:pPr>
      <w:numPr>
        <w:ilvl w:val="2"/>
        <w:numId w:val="5"/>
      </w:numPr>
    </w:pPr>
    <w:rPr>
      <w:rFonts w:ascii="宋体"/>
      <w:szCs w:val="21"/>
    </w:rPr>
  </w:style>
  <w:style w:type="paragraph" w:customStyle="1" w:styleId="54">
    <w:name w:val="附录字母编号列项（一级）"/>
    <w:qFormat/>
    <w:uiPriority w:val="0"/>
    <w:pPr>
      <w:numPr>
        <w:ilvl w:val="0"/>
        <w:numId w:val="6"/>
      </w:numPr>
    </w:pPr>
    <w:rPr>
      <w:rFonts w:ascii="宋体" w:hAnsi="Times New Roman" w:eastAsia="宋体" w:cs="Times New Roman"/>
      <w:sz w:val="21"/>
      <w:lang w:val="en-US" w:eastAsia="zh-CN" w:bidi="ar-SA"/>
    </w:rPr>
  </w:style>
  <w:style w:type="paragraph" w:customStyle="1" w:styleId="55">
    <w:name w:val="其他标准称谓"/>
    <w:next w:val="1"/>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56">
    <w:name w:val="正文图标题"/>
    <w:next w:val="16"/>
    <w:uiPriority w:val="0"/>
    <w:pPr>
      <w:numPr>
        <w:ilvl w:val="0"/>
        <w:numId w:val="7"/>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57">
    <w:name w:val="附录三级无"/>
    <w:basedOn w:val="58"/>
    <w:uiPriority w:val="0"/>
    <w:pPr>
      <w:tabs>
        <w:tab w:val="left" w:pos="360"/>
      </w:tabs>
      <w:spacing w:beforeLines="0" w:afterLines="0"/>
    </w:pPr>
    <w:rPr>
      <w:rFonts w:ascii="宋体" w:eastAsia="宋体"/>
      <w:szCs w:val="21"/>
    </w:rPr>
  </w:style>
  <w:style w:type="paragraph" w:customStyle="1" w:styleId="58">
    <w:name w:val="附录三级条标题"/>
    <w:basedOn w:val="59"/>
    <w:next w:val="16"/>
    <w:uiPriority w:val="0"/>
    <w:pPr>
      <w:numPr>
        <w:ilvl w:val="0"/>
        <w:numId w:val="0"/>
      </w:numPr>
      <w:tabs>
        <w:tab w:val="left" w:pos="360"/>
      </w:tabs>
      <w:outlineLvl w:val="4"/>
    </w:pPr>
  </w:style>
  <w:style w:type="paragraph" w:customStyle="1" w:styleId="59">
    <w:name w:val="附录二级条标题"/>
    <w:basedOn w:val="1"/>
    <w:next w:val="16"/>
    <w:uiPriority w:val="0"/>
    <w:pPr>
      <w:widowControl/>
      <w:numPr>
        <w:ilvl w:val="3"/>
        <w:numId w:val="8"/>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60">
    <w:name w:val="标准书眉_奇数页"/>
    <w:next w:val="1"/>
    <w:qFormat/>
    <w:uiPriority w:val="0"/>
    <w:pPr>
      <w:numPr>
        <w:ilvl w:val="1"/>
        <w:numId w:val="9"/>
      </w:num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61">
    <w:name w:val="附录一级条标题"/>
    <w:basedOn w:val="62"/>
    <w:next w:val="16"/>
    <w:uiPriority w:val="0"/>
    <w:pPr>
      <w:numPr>
        <w:ilvl w:val="2"/>
      </w:numPr>
      <w:tabs>
        <w:tab w:val="left" w:pos="360"/>
      </w:tabs>
      <w:autoSpaceDN w:val="0"/>
      <w:spacing w:beforeLines="50" w:afterLines="50"/>
      <w:outlineLvl w:val="2"/>
    </w:pPr>
  </w:style>
  <w:style w:type="paragraph" w:customStyle="1" w:styleId="62">
    <w:name w:val="附录章标题"/>
    <w:next w:val="16"/>
    <w:uiPriority w:val="0"/>
    <w:pPr>
      <w:numPr>
        <w:ilvl w:val="1"/>
        <w:numId w:val="8"/>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63">
    <w:name w:val="附录四级无"/>
    <w:basedOn w:val="64"/>
    <w:uiPriority w:val="0"/>
    <w:pPr>
      <w:tabs>
        <w:tab w:val="left" w:pos="360"/>
      </w:tabs>
      <w:spacing w:beforeLines="0" w:afterLines="0"/>
    </w:pPr>
    <w:rPr>
      <w:rFonts w:ascii="宋体" w:eastAsia="宋体"/>
      <w:szCs w:val="21"/>
    </w:rPr>
  </w:style>
  <w:style w:type="paragraph" w:customStyle="1" w:styleId="64">
    <w:name w:val="附录四级条标题"/>
    <w:basedOn w:val="58"/>
    <w:next w:val="16"/>
    <w:qFormat/>
    <w:uiPriority w:val="0"/>
    <w:pPr>
      <w:numPr>
        <w:ilvl w:val="5"/>
      </w:numPr>
      <w:outlineLvl w:val="5"/>
    </w:pPr>
  </w:style>
  <w:style w:type="paragraph" w:customStyle="1" w:styleId="65">
    <w:name w:val="附录五级无"/>
    <w:basedOn w:val="66"/>
    <w:qFormat/>
    <w:uiPriority w:val="0"/>
    <w:pPr>
      <w:tabs>
        <w:tab w:val="left" w:pos="360"/>
      </w:tabs>
      <w:spacing w:beforeLines="0" w:afterLines="0"/>
    </w:pPr>
    <w:rPr>
      <w:rFonts w:ascii="宋体" w:eastAsia="宋体"/>
      <w:szCs w:val="21"/>
    </w:rPr>
  </w:style>
  <w:style w:type="paragraph" w:customStyle="1" w:styleId="66">
    <w:name w:val="附录五级条标题"/>
    <w:basedOn w:val="64"/>
    <w:next w:val="16"/>
    <w:qFormat/>
    <w:uiPriority w:val="0"/>
    <w:pPr>
      <w:numPr>
        <w:ilvl w:val="6"/>
      </w:numPr>
      <w:outlineLvl w:val="6"/>
    </w:pPr>
  </w:style>
  <w:style w:type="paragraph" w:customStyle="1" w:styleId="67">
    <w:name w:val="附录公式编号制表符"/>
    <w:basedOn w:val="1"/>
    <w:next w:val="16"/>
    <w:qFormat/>
    <w:uiPriority w:val="0"/>
    <w:pPr>
      <w:widowControl/>
      <w:tabs>
        <w:tab w:val="center" w:pos="4201"/>
        <w:tab w:val="right" w:leader="dot" w:pos="9298"/>
      </w:tabs>
      <w:autoSpaceDE w:val="0"/>
      <w:autoSpaceDN w:val="0"/>
    </w:pPr>
    <w:rPr>
      <w:rFonts w:ascii="宋体"/>
      <w:kern w:val="0"/>
      <w:szCs w:val="20"/>
    </w:rPr>
  </w:style>
  <w:style w:type="paragraph" w:customStyle="1" w:styleId="68">
    <w:name w:val="章标题"/>
    <w:next w:val="16"/>
    <w:qFormat/>
    <w:uiPriority w:val="0"/>
    <w:pPr>
      <w:numPr>
        <w:ilvl w:val="0"/>
        <w:numId w:val="4"/>
      </w:numPr>
      <w:spacing w:beforeLines="100" w:afterLines="100"/>
      <w:jc w:val="both"/>
      <w:outlineLvl w:val="1"/>
    </w:pPr>
    <w:rPr>
      <w:rFonts w:ascii="黑体" w:hAnsi="Times New Roman" w:eastAsia="黑体" w:cs="Times New Roman"/>
      <w:sz w:val="21"/>
      <w:lang w:val="en-US" w:eastAsia="zh-CN" w:bidi="ar-SA"/>
    </w:rPr>
  </w:style>
  <w:style w:type="paragraph" w:customStyle="1" w:styleId="69">
    <w:name w:val="注×："/>
    <w:qFormat/>
    <w:uiPriority w:val="0"/>
    <w:pPr>
      <w:widowControl w:val="0"/>
      <w:numPr>
        <w:ilvl w:val="0"/>
        <w:numId w:val="10"/>
      </w:numPr>
      <w:autoSpaceDE w:val="0"/>
      <w:autoSpaceDN w:val="0"/>
      <w:jc w:val="both"/>
    </w:pPr>
    <w:rPr>
      <w:rFonts w:ascii="宋体" w:hAnsi="Times New Roman" w:eastAsia="宋体" w:cs="Times New Roman"/>
      <w:sz w:val="18"/>
      <w:szCs w:val="18"/>
      <w:lang w:val="en-US" w:eastAsia="zh-CN" w:bidi="ar-SA"/>
    </w:rPr>
  </w:style>
  <w:style w:type="paragraph" w:customStyle="1" w:styleId="70">
    <w:name w:val="条文脚注"/>
    <w:basedOn w:val="17"/>
    <w:qFormat/>
    <w:uiPriority w:val="0"/>
    <w:pPr>
      <w:numPr>
        <w:numId w:val="0"/>
      </w:numPr>
      <w:jc w:val="both"/>
    </w:pPr>
  </w:style>
  <w:style w:type="paragraph" w:customStyle="1" w:styleId="71">
    <w:name w:val="前言、引言标题"/>
    <w:next w:val="16"/>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72">
    <w:name w:val="附录图标题"/>
    <w:basedOn w:val="1"/>
    <w:next w:val="16"/>
    <w:qFormat/>
    <w:uiPriority w:val="0"/>
    <w:pPr>
      <w:numPr>
        <w:ilvl w:val="1"/>
        <w:numId w:val="11"/>
      </w:numPr>
      <w:tabs>
        <w:tab w:val="left" w:pos="363"/>
      </w:tabs>
      <w:spacing w:beforeLines="50" w:afterLines="50"/>
      <w:ind w:left="0" w:firstLine="0"/>
      <w:jc w:val="center"/>
    </w:pPr>
    <w:rPr>
      <w:rFonts w:ascii="黑体" w:eastAsia="黑体"/>
      <w:szCs w:val="21"/>
    </w:rPr>
  </w:style>
  <w:style w:type="paragraph" w:customStyle="1" w:styleId="73">
    <w:name w:val="其他发布日期"/>
    <w:basedOn w:val="74"/>
    <w:qFormat/>
    <w:uiPriority w:val="0"/>
    <w:pPr>
      <w:framePr w:wrap="around" w:vAnchor="page" w:hAnchor="text" w:x="1419"/>
      <w:numPr>
        <w:ilvl w:val="0"/>
        <w:numId w:val="12"/>
      </w:numPr>
    </w:pPr>
  </w:style>
  <w:style w:type="paragraph" w:customStyle="1" w:styleId="74">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5">
    <w:name w:val="封面标准文稿编辑信息2"/>
    <w:basedOn w:val="76"/>
    <w:qFormat/>
    <w:uiPriority w:val="0"/>
    <w:pPr>
      <w:framePr w:wrap="around" w:y="4469"/>
    </w:pPr>
  </w:style>
  <w:style w:type="paragraph" w:customStyle="1" w:styleId="76">
    <w:name w:val="封面标准文稿编辑信息"/>
    <w:basedOn w:val="77"/>
    <w:qFormat/>
    <w:uiPriority w:val="0"/>
    <w:pPr>
      <w:framePr w:wrap="around"/>
      <w:spacing w:before="180" w:line="180" w:lineRule="exact"/>
    </w:pPr>
    <w:rPr>
      <w:sz w:val="21"/>
    </w:rPr>
  </w:style>
  <w:style w:type="paragraph" w:customStyle="1" w:styleId="77">
    <w:name w:val="封面标准文稿类别"/>
    <w:basedOn w:val="78"/>
    <w:qFormat/>
    <w:uiPriority w:val="0"/>
    <w:pPr>
      <w:framePr w:wrap="around"/>
      <w:spacing w:after="160" w:line="240" w:lineRule="auto"/>
    </w:pPr>
    <w:rPr>
      <w:sz w:val="24"/>
    </w:rPr>
  </w:style>
  <w:style w:type="paragraph" w:customStyle="1" w:styleId="78">
    <w:name w:val="封面一致性程度标识"/>
    <w:basedOn w:val="79"/>
    <w:qFormat/>
    <w:uiPriority w:val="0"/>
    <w:pPr>
      <w:framePr w:wrap="around"/>
      <w:spacing w:before="440"/>
    </w:pPr>
    <w:rPr>
      <w:rFonts w:ascii="宋体" w:eastAsia="宋体"/>
    </w:rPr>
  </w:style>
  <w:style w:type="paragraph" w:customStyle="1" w:styleId="79">
    <w:name w:val="封面标准英文名称"/>
    <w:basedOn w:val="80"/>
    <w:qFormat/>
    <w:uiPriority w:val="0"/>
    <w:pPr>
      <w:framePr w:wrap="around"/>
      <w:spacing w:before="370" w:line="400" w:lineRule="exact"/>
    </w:pPr>
    <w:rPr>
      <w:rFonts w:ascii="Times New Roman"/>
      <w:sz w:val="28"/>
      <w:szCs w:val="28"/>
    </w:rPr>
  </w:style>
  <w:style w:type="paragraph" w:customStyle="1" w:styleId="80">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1">
    <w:name w:val="三级无"/>
    <w:basedOn w:val="48"/>
    <w:qFormat/>
    <w:uiPriority w:val="0"/>
    <w:pPr>
      <w:spacing w:beforeLines="0" w:afterLines="0"/>
    </w:pPr>
    <w:rPr>
      <w:rFonts w:ascii="宋体" w:eastAsia="宋体"/>
    </w:rPr>
  </w:style>
  <w:style w:type="paragraph" w:customStyle="1" w:styleId="82">
    <w:name w:val="参考文献、索引标题"/>
    <w:basedOn w:val="1"/>
    <w:next w:val="1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83">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84">
    <w:name w:val="附录表标题"/>
    <w:basedOn w:val="1"/>
    <w:next w:val="16"/>
    <w:qFormat/>
    <w:uiPriority w:val="0"/>
    <w:pPr>
      <w:numPr>
        <w:ilvl w:val="1"/>
        <w:numId w:val="13"/>
      </w:numPr>
      <w:tabs>
        <w:tab w:val="left" w:pos="180"/>
      </w:tabs>
      <w:spacing w:beforeLines="50" w:afterLines="50"/>
      <w:ind w:left="0" w:firstLine="0"/>
      <w:jc w:val="center"/>
    </w:pPr>
    <w:rPr>
      <w:rFonts w:ascii="黑体" w:eastAsia="黑体"/>
      <w:szCs w:val="21"/>
    </w:rPr>
  </w:style>
  <w:style w:type="paragraph" w:customStyle="1" w:styleId="85">
    <w:name w:val="其他实施日期"/>
    <w:basedOn w:val="86"/>
    <w:qFormat/>
    <w:uiPriority w:val="0"/>
    <w:pPr>
      <w:framePr w:wrap="around"/>
    </w:pPr>
  </w:style>
  <w:style w:type="paragraph" w:customStyle="1" w:styleId="86">
    <w:name w:val="实施日期"/>
    <w:basedOn w:val="74"/>
    <w:qFormat/>
    <w:uiPriority w:val="0"/>
    <w:pPr>
      <w:framePr w:wrap="around" w:vAnchor="page" w:hAnchor="text"/>
      <w:jc w:val="right"/>
    </w:pPr>
  </w:style>
  <w:style w:type="paragraph" w:customStyle="1" w:styleId="87">
    <w:name w:val="附录图标号"/>
    <w:basedOn w:val="1"/>
    <w:qFormat/>
    <w:uiPriority w:val="0"/>
    <w:pPr>
      <w:keepNext/>
      <w:pageBreakBefore/>
      <w:widowControl/>
      <w:numPr>
        <w:ilvl w:val="0"/>
        <w:numId w:val="11"/>
      </w:numPr>
      <w:spacing w:line="14" w:lineRule="exact"/>
      <w:ind w:left="0" w:firstLine="363"/>
      <w:jc w:val="center"/>
      <w:outlineLvl w:val="0"/>
    </w:pPr>
    <w:rPr>
      <w:color w:val="FFFFFF"/>
    </w:rPr>
  </w:style>
  <w:style w:type="paragraph" w:customStyle="1" w:styleId="88">
    <w:name w:val="列项●（二级）"/>
    <w:qFormat/>
    <w:uiPriority w:val="0"/>
    <w:pPr>
      <w:numPr>
        <w:ilvl w:val="1"/>
        <w:numId w:val="5"/>
      </w:numPr>
      <w:tabs>
        <w:tab w:val="left" w:pos="840"/>
      </w:tabs>
      <w:jc w:val="both"/>
    </w:pPr>
    <w:rPr>
      <w:rFonts w:ascii="宋体" w:hAnsi="Times New Roman" w:eastAsia="宋体" w:cs="Times New Roman"/>
      <w:sz w:val="21"/>
      <w:lang w:val="en-US" w:eastAsia="zh-CN" w:bidi="ar-SA"/>
    </w:rPr>
  </w:style>
  <w:style w:type="paragraph" w:customStyle="1" w:styleId="89">
    <w:name w:val="二级无"/>
    <w:basedOn w:val="49"/>
    <w:qFormat/>
    <w:uiPriority w:val="0"/>
    <w:pPr>
      <w:spacing w:beforeLines="0" w:afterLines="0"/>
    </w:pPr>
    <w:rPr>
      <w:rFonts w:ascii="宋体" w:eastAsia="宋体"/>
    </w:rPr>
  </w:style>
  <w:style w:type="paragraph" w:customStyle="1" w:styleId="90">
    <w:name w:val="附录一级无"/>
    <w:basedOn w:val="61"/>
    <w:qFormat/>
    <w:uiPriority w:val="0"/>
    <w:pPr>
      <w:tabs>
        <w:tab w:val="clear" w:pos="360"/>
      </w:tabs>
      <w:spacing w:beforeLines="0" w:afterLines="0"/>
    </w:pPr>
    <w:rPr>
      <w:rFonts w:ascii="宋体" w:eastAsia="宋体"/>
      <w:szCs w:val="21"/>
    </w:rPr>
  </w:style>
  <w:style w:type="paragraph" w:customStyle="1" w:styleId="91">
    <w:name w:val="参考文献"/>
    <w:basedOn w:val="1"/>
    <w:next w:val="1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92">
    <w:name w:val="四级无"/>
    <w:basedOn w:val="47"/>
    <w:qFormat/>
    <w:uiPriority w:val="0"/>
    <w:pPr>
      <w:numPr>
        <w:ilvl w:val="0"/>
        <w:numId w:val="0"/>
      </w:numPr>
      <w:spacing w:beforeLines="0" w:afterLines="0"/>
    </w:pPr>
    <w:rPr>
      <w:rFonts w:ascii="宋体" w:eastAsia="宋体"/>
    </w:rPr>
  </w:style>
  <w:style w:type="paragraph" w:customStyle="1" w:styleId="93">
    <w:name w:val="列项——（一级）"/>
    <w:qFormat/>
    <w:uiPriority w:val="0"/>
    <w:pPr>
      <w:widowControl w:val="0"/>
      <w:numPr>
        <w:ilvl w:val="0"/>
        <w:numId w:val="5"/>
      </w:numPr>
      <w:jc w:val="both"/>
    </w:pPr>
    <w:rPr>
      <w:rFonts w:ascii="宋体" w:hAnsi="Times New Roman" w:eastAsia="宋体" w:cs="Times New Roman"/>
      <w:sz w:val="21"/>
      <w:lang w:val="en-US" w:eastAsia="zh-CN" w:bidi="ar-SA"/>
    </w:rPr>
  </w:style>
  <w:style w:type="paragraph" w:customStyle="1" w:styleId="94">
    <w:name w:val="数字编号列项（二级）"/>
    <w:qFormat/>
    <w:uiPriority w:val="0"/>
    <w:pPr>
      <w:numPr>
        <w:ilvl w:val="1"/>
        <w:numId w:val="14"/>
      </w:numPr>
      <w:jc w:val="both"/>
    </w:pPr>
    <w:rPr>
      <w:rFonts w:ascii="宋体" w:hAnsi="Times New Roman" w:eastAsia="宋体" w:cs="Times New Roman"/>
      <w:sz w:val="21"/>
      <w:lang w:val="en-US" w:eastAsia="zh-CN" w:bidi="ar-SA"/>
    </w:rPr>
  </w:style>
  <w:style w:type="paragraph" w:customStyle="1" w:styleId="95">
    <w:name w:val="正文表标题"/>
    <w:next w:val="16"/>
    <w:qFormat/>
    <w:uiPriority w:val="0"/>
    <w:pPr>
      <w:tabs>
        <w:tab w:val="left" w:pos="360"/>
      </w:tabs>
      <w:spacing w:beforeLines="50" w:afterLines="50"/>
      <w:ind w:left="3545"/>
      <w:jc w:val="center"/>
    </w:pPr>
    <w:rPr>
      <w:rFonts w:ascii="黑体" w:hAnsi="Times New Roman" w:eastAsia="黑体" w:cs="Times New Roman"/>
      <w:sz w:val="21"/>
      <w:lang w:val="en-US" w:eastAsia="zh-CN" w:bidi="ar-SA"/>
    </w:rPr>
  </w:style>
  <w:style w:type="paragraph" w:customStyle="1" w:styleId="96">
    <w:name w:val="图的脚注"/>
    <w:next w:val="16"/>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97">
    <w:name w:val="正文公式编号制表符"/>
    <w:basedOn w:val="16"/>
    <w:next w:val="16"/>
    <w:qFormat/>
    <w:uiPriority w:val="0"/>
    <w:pPr>
      <w:ind w:firstLine="0" w:firstLineChars="0"/>
    </w:pPr>
  </w:style>
  <w:style w:type="paragraph" w:customStyle="1" w:styleId="98">
    <w:name w:val="注：（正文）"/>
    <w:basedOn w:val="99"/>
    <w:next w:val="16"/>
    <w:qFormat/>
    <w:uiPriority w:val="0"/>
  </w:style>
  <w:style w:type="paragraph" w:customStyle="1" w:styleId="99">
    <w:name w:val="注："/>
    <w:next w:val="16"/>
    <w:qFormat/>
    <w:uiPriority w:val="0"/>
    <w:pPr>
      <w:widowControl w:val="0"/>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100">
    <w:name w:val="注×：（正文）"/>
    <w:qFormat/>
    <w:uiPriority w:val="0"/>
    <w:pPr>
      <w:numPr>
        <w:ilvl w:val="0"/>
        <w:numId w:val="15"/>
      </w:numPr>
      <w:jc w:val="both"/>
    </w:pPr>
    <w:rPr>
      <w:rFonts w:ascii="宋体" w:hAnsi="Times New Roman" w:eastAsia="宋体" w:cs="Times New Roman"/>
      <w:sz w:val="18"/>
      <w:szCs w:val="18"/>
      <w:lang w:val="en-US" w:eastAsia="zh-CN" w:bidi="ar-SA"/>
    </w:rPr>
  </w:style>
  <w:style w:type="paragraph" w:customStyle="1" w:styleId="101">
    <w:name w:val="Table Paragraph"/>
    <w:basedOn w:val="1"/>
    <w:qFormat/>
    <w:uiPriority w:val="0"/>
    <w:rPr>
      <w:rFonts w:ascii="楷体" w:hAnsi="楷体" w:eastAsia="楷体" w:cs="楷体"/>
      <w:szCs w:val="22"/>
      <w:lang w:val="zh-CN" w:bidi="zh-CN"/>
    </w:rPr>
  </w:style>
  <w:style w:type="paragraph" w:customStyle="1" w:styleId="102">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03">
    <w:name w:val="其他标准标志"/>
    <w:basedOn w:val="52"/>
    <w:qFormat/>
    <w:uiPriority w:val="0"/>
    <w:pPr>
      <w:framePr w:w="6101" w:wrap="around" w:vAnchor="page" w:hAnchor="page" w:x="4673" w:y="942"/>
    </w:pPr>
    <w:rPr>
      <w:w w:val="130"/>
    </w:rPr>
  </w:style>
  <w:style w:type="paragraph" w:customStyle="1" w:styleId="104">
    <w:name w:val="示例×："/>
    <w:basedOn w:val="68"/>
    <w:qFormat/>
    <w:uiPriority w:val="0"/>
    <w:pPr>
      <w:numPr>
        <w:numId w:val="16"/>
      </w:numPr>
      <w:spacing w:beforeLines="0" w:afterLines="0"/>
      <w:outlineLvl w:val="9"/>
    </w:pPr>
    <w:rPr>
      <w:rFonts w:ascii="宋体" w:eastAsia="宋体"/>
      <w:sz w:val="18"/>
      <w:szCs w:val="18"/>
    </w:rPr>
  </w:style>
  <w:style w:type="paragraph" w:customStyle="1" w:styleId="105">
    <w:name w:val="图表脚注说明"/>
    <w:basedOn w:val="1"/>
    <w:qFormat/>
    <w:uiPriority w:val="0"/>
    <w:pPr>
      <w:numPr>
        <w:ilvl w:val="0"/>
        <w:numId w:val="2"/>
      </w:numPr>
    </w:pPr>
    <w:rPr>
      <w:rFonts w:ascii="宋体"/>
      <w:sz w:val="18"/>
      <w:szCs w:val="18"/>
    </w:rPr>
  </w:style>
  <w:style w:type="paragraph" w:customStyle="1" w:styleId="106">
    <w:name w:val="标准书眉_偶数页"/>
    <w:basedOn w:val="60"/>
    <w:next w:val="1"/>
    <w:qFormat/>
    <w:uiPriority w:val="0"/>
    <w:pPr>
      <w:jc w:val="left"/>
    </w:pPr>
  </w:style>
  <w:style w:type="paragraph" w:customStyle="1" w:styleId="107">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108">
    <w:name w:val="封面标准英文名称2"/>
    <w:basedOn w:val="79"/>
    <w:qFormat/>
    <w:uiPriority w:val="0"/>
    <w:pPr>
      <w:framePr w:wrap="around" w:y="4469"/>
    </w:pPr>
  </w:style>
  <w:style w:type="paragraph" w:customStyle="1" w:styleId="109">
    <w:name w:val="图标脚注说明"/>
    <w:basedOn w:val="16"/>
    <w:qFormat/>
    <w:uiPriority w:val="0"/>
    <w:pPr>
      <w:ind w:left="840" w:hanging="420" w:firstLineChars="0"/>
    </w:pPr>
    <w:rPr>
      <w:sz w:val="18"/>
      <w:szCs w:val="18"/>
    </w:rPr>
  </w:style>
  <w:style w:type="paragraph" w:customStyle="1" w:styleId="110">
    <w:name w:val="五级无"/>
    <w:basedOn w:val="46"/>
    <w:qFormat/>
    <w:uiPriority w:val="0"/>
    <w:pPr>
      <w:spacing w:beforeLines="0" w:afterLines="0"/>
    </w:pPr>
    <w:rPr>
      <w:rFonts w:ascii="宋体" w:eastAsia="宋体"/>
    </w:rPr>
  </w:style>
  <w:style w:type="paragraph" w:customStyle="1" w:styleId="111">
    <w:name w:val="终结线"/>
    <w:basedOn w:val="1"/>
    <w:qFormat/>
    <w:uiPriority w:val="0"/>
    <w:pPr>
      <w:framePr w:hSpace="181" w:vSpace="181" w:wrap="around" w:vAnchor="text" w:hAnchor="margin" w:xAlign="center" w:y="285"/>
    </w:pPr>
  </w:style>
  <w:style w:type="paragraph" w:customStyle="1" w:styleId="112">
    <w:name w:val="附录标识"/>
    <w:basedOn w:val="1"/>
    <w:next w:val="16"/>
    <w:qFormat/>
    <w:uiPriority w:val="0"/>
    <w:pPr>
      <w:keepNext/>
      <w:widowControl/>
      <w:numPr>
        <w:ilvl w:val="0"/>
        <w:numId w:val="8"/>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13">
    <w:name w:val="发布部门"/>
    <w:next w:val="16"/>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114">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5">
    <w:name w:val="附录数字编号列项（二级）"/>
    <w:qFormat/>
    <w:uiPriority w:val="0"/>
    <w:pPr>
      <w:numPr>
        <w:ilvl w:val="1"/>
        <w:numId w:val="6"/>
      </w:numPr>
    </w:pPr>
    <w:rPr>
      <w:rFonts w:ascii="宋体" w:hAnsi="Times New Roman" w:eastAsia="宋体" w:cs="Times New Roman"/>
      <w:sz w:val="21"/>
      <w:lang w:val="en-US" w:eastAsia="zh-CN" w:bidi="ar-SA"/>
    </w:rPr>
  </w:style>
  <w:style w:type="paragraph" w:customStyle="1" w:styleId="116">
    <w:name w:val="示例后文字"/>
    <w:basedOn w:val="16"/>
    <w:next w:val="16"/>
    <w:qFormat/>
    <w:uiPriority w:val="0"/>
    <w:pPr>
      <w:ind w:firstLine="360"/>
    </w:pPr>
    <w:rPr>
      <w:sz w:val="18"/>
    </w:rPr>
  </w:style>
  <w:style w:type="paragraph" w:customStyle="1" w:styleId="117">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18">
    <w:name w:val="封面标准文稿类别2"/>
    <w:basedOn w:val="77"/>
    <w:qFormat/>
    <w:uiPriority w:val="0"/>
    <w:pPr>
      <w:framePr w:wrap="around" w:y="4469"/>
    </w:pPr>
  </w:style>
  <w:style w:type="paragraph" w:customStyle="1" w:styleId="119">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0">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21">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22">
    <w:name w:val="封面一致性程度标识2"/>
    <w:basedOn w:val="78"/>
    <w:qFormat/>
    <w:uiPriority w:val="0"/>
    <w:pPr>
      <w:framePr w:wrap="around" w:y="4469"/>
    </w:pPr>
  </w:style>
  <w:style w:type="paragraph" w:customStyle="1" w:styleId="123">
    <w:name w:val="示例"/>
    <w:next w:val="83"/>
    <w:qFormat/>
    <w:uiPriority w:val="0"/>
    <w:pPr>
      <w:widowControl w:val="0"/>
      <w:numPr>
        <w:ilvl w:val="0"/>
        <w:numId w:val="17"/>
      </w:numPr>
      <w:jc w:val="both"/>
    </w:pPr>
    <w:rPr>
      <w:rFonts w:ascii="宋体" w:hAnsi="Times New Roman" w:eastAsia="宋体" w:cs="Times New Roman"/>
      <w:sz w:val="18"/>
      <w:szCs w:val="18"/>
      <w:lang w:val="en-US" w:eastAsia="zh-CN" w:bidi="ar-SA"/>
    </w:rPr>
  </w:style>
  <w:style w:type="paragraph" w:customStyle="1" w:styleId="124">
    <w:name w:val="编号列项（三级）"/>
    <w:uiPriority w:val="0"/>
    <w:pPr>
      <w:numPr>
        <w:ilvl w:val="2"/>
        <w:numId w:val="14"/>
      </w:numPr>
    </w:pPr>
    <w:rPr>
      <w:rFonts w:ascii="宋体" w:hAnsi="Times New Roman" w:eastAsia="宋体" w:cs="Times New Roman"/>
      <w:sz w:val="21"/>
      <w:lang w:val="en-US" w:eastAsia="zh-CN" w:bidi="ar-SA"/>
    </w:rPr>
  </w:style>
  <w:style w:type="paragraph" w:customStyle="1" w:styleId="125">
    <w:name w:val="标准书眉一"/>
    <w:uiPriority w:val="0"/>
    <w:pPr>
      <w:jc w:val="both"/>
    </w:pPr>
    <w:rPr>
      <w:rFonts w:ascii="Times New Roman" w:hAnsi="Times New Roman" w:eastAsia="宋体" w:cs="Times New Roman"/>
      <w:lang w:val="en-US" w:eastAsia="zh-CN" w:bidi="ar-SA"/>
    </w:rPr>
  </w:style>
  <w:style w:type="paragraph" w:customStyle="1" w:styleId="126">
    <w:name w:val="其他发布部门"/>
    <w:basedOn w:val="113"/>
    <w:uiPriority w:val="0"/>
    <w:pPr>
      <w:framePr w:wrap="around" w:y="15310"/>
      <w:spacing w:line="0" w:lineRule="atLeast"/>
    </w:pPr>
    <w:rPr>
      <w:rFonts w:ascii="黑体" w:eastAsia="黑体"/>
      <w:b w:val="0"/>
    </w:rPr>
  </w:style>
  <w:style w:type="paragraph" w:customStyle="1" w:styleId="127">
    <w:name w:val="字母编号列项（一级）"/>
    <w:uiPriority w:val="0"/>
    <w:pPr>
      <w:numPr>
        <w:ilvl w:val="0"/>
        <w:numId w:val="14"/>
      </w:numPr>
      <w:jc w:val="both"/>
    </w:pPr>
    <w:rPr>
      <w:rFonts w:ascii="宋体" w:hAnsi="Times New Roman" w:eastAsia="宋体" w:cs="Times New Roman"/>
      <w:sz w:val="21"/>
      <w:lang w:val="en-US" w:eastAsia="zh-CN" w:bidi="ar-SA"/>
    </w:rPr>
  </w:style>
  <w:style w:type="paragraph" w:customStyle="1" w:styleId="128">
    <w:name w:val="列项说明"/>
    <w:basedOn w:val="1"/>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29">
    <w:name w:val="目次、标准名称标题"/>
    <w:basedOn w:val="1"/>
    <w:next w:val="16"/>
    <w:uiPriority w:val="0"/>
    <w:pPr>
      <w:keepNext/>
      <w:pageBreakBefore/>
      <w:widowControl/>
      <w:numPr>
        <w:ilvl w:val="4"/>
        <w:numId w:val="9"/>
      </w:numPr>
      <w:shd w:val="clear" w:color="FFFFFF" w:fill="FFFFFF"/>
      <w:spacing w:before="640" w:after="560" w:line="460" w:lineRule="exact"/>
      <w:jc w:val="center"/>
      <w:outlineLvl w:val="0"/>
    </w:pPr>
    <w:rPr>
      <w:rFonts w:ascii="黑体" w:eastAsia="黑体"/>
      <w:kern w:val="0"/>
      <w:sz w:val="32"/>
      <w:szCs w:val="20"/>
    </w:rPr>
  </w:style>
  <w:style w:type="paragraph" w:customStyle="1" w:styleId="130">
    <w:name w:val="附录二级无"/>
    <w:basedOn w:val="59"/>
    <w:uiPriority w:val="0"/>
    <w:pPr>
      <w:tabs>
        <w:tab w:val="clear" w:pos="360"/>
      </w:tabs>
      <w:spacing w:beforeLines="0" w:afterLines="0"/>
    </w:pPr>
    <w:rPr>
      <w:rFonts w:ascii="宋体" w:eastAsia="宋体"/>
      <w:szCs w:val="21"/>
    </w:rPr>
  </w:style>
  <w:style w:type="paragraph" w:customStyle="1" w:styleId="131">
    <w:name w:val="封面标准名称2"/>
    <w:basedOn w:val="80"/>
    <w:uiPriority w:val="0"/>
    <w:pPr>
      <w:framePr w:wrap="around" w:y="4469"/>
      <w:spacing w:beforeLines="630"/>
    </w:pPr>
  </w:style>
  <w:style w:type="paragraph" w:customStyle="1" w:styleId="132">
    <w:name w:val="封面正文"/>
    <w:qFormat/>
    <w:uiPriority w:val="0"/>
    <w:pPr>
      <w:jc w:val="both"/>
    </w:pPr>
    <w:rPr>
      <w:rFonts w:ascii="Times New Roman" w:hAnsi="Times New Roman" w:eastAsia="宋体" w:cs="Times New Roman"/>
      <w:lang w:val="en-US" w:eastAsia="zh-CN" w:bidi="ar-SA"/>
    </w:rPr>
  </w:style>
  <w:style w:type="paragraph" w:customStyle="1" w:styleId="133">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34">
    <w:name w:val="附录表标号"/>
    <w:basedOn w:val="1"/>
    <w:next w:val="16"/>
    <w:uiPriority w:val="0"/>
    <w:pPr>
      <w:numPr>
        <w:ilvl w:val="0"/>
        <w:numId w:val="13"/>
      </w:numPr>
      <w:tabs>
        <w:tab w:val="clear" w:pos="0"/>
      </w:tabs>
      <w:spacing w:line="14" w:lineRule="exact"/>
      <w:ind w:left="811" w:hanging="448"/>
      <w:jc w:val="center"/>
      <w:outlineLvl w:val="0"/>
    </w:pPr>
    <w:rPr>
      <w:color w:val="FFFFFF"/>
    </w:rPr>
  </w:style>
  <w:style w:type="paragraph" w:customStyle="1" w:styleId="135">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36">
    <w:name w:val="附录标题"/>
    <w:basedOn w:val="16"/>
    <w:next w:val="16"/>
    <w:uiPriority w:val="0"/>
    <w:pPr>
      <w:ind w:firstLine="0" w:firstLineChars="0"/>
      <w:jc w:val="center"/>
    </w:pPr>
    <w:rPr>
      <w:rFonts w:ascii="黑体" w:eastAsia="黑体"/>
    </w:rPr>
  </w:style>
  <w:style w:type="table" w:customStyle="1" w:styleId="137">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cc</Company>
  <Pages>4</Pages>
  <Words>2877</Words>
  <Characters>3122</Characters>
  <Lines>23</Lines>
  <Paragraphs>6</Paragraphs>
  <TotalTime>0</TotalTime>
  <ScaleCrop>false</ScaleCrop>
  <LinksUpToDate>false</LinksUpToDate>
  <CharactersWithSpaces>3164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2025-04-29T06:27:00Z</dcterms:created>
  <dc:creator>cc</dc:creator>
  <cp:lastModifiedBy>李松岩</cp:lastModifiedBy>
  <cp:lastPrinted>2024-12-03T06:16:00Z</cp:lastPrinted>
  <dcterms:modified xsi:type="dcterms:W3CDTF">2025-06-17T06:52:28Z</dcterms:modified>
  <dc:title>关于在全区质量技术监督系统开展电子邮件公文传输的通知</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831EEB40CB9544E1B6936C0FB8AF6192_13</vt:lpwstr>
  </property>
  <property fmtid="{D5CDD505-2E9C-101B-9397-08002B2CF9AE}" pid="4" name="KSOTemplateDocerSaveRecord">
    <vt:lpwstr>eyJoZGlkIjoiNWNkZGY4NTNkYTNlZDAyNmJkNzQwY2RmNmEzMmE2NDAiLCJ1c2VySWQiOiIxNDQ1NjU1MDYxIn0=</vt:lpwstr>
  </property>
</Properties>
</file>